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386" w:rsidRPr="007772C4" w:rsidRDefault="00D21386" w:rsidP="007772C4">
      <w:pPr>
        <w:jc w:val="center"/>
        <w:rPr>
          <w:lang w:val="pt-PT"/>
        </w:rPr>
      </w:pPr>
      <w:bookmarkStart w:id="0" w:name="_GoBack"/>
      <w:bookmarkEnd w:id="0"/>
    </w:p>
    <w:p w:rsidR="007772C4" w:rsidRPr="007772C4" w:rsidRDefault="007772C4" w:rsidP="007772C4">
      <w:pPr>
        <w:jc w:val="center"/>
        <w:rPr>
          <w:lang w:val="pt-PT"/>
        </w:rPr>
      </w:pPr>
    </w:p>
    <w:p w:rsidR="00D21386" w:rsidRPr="007772C4" w:rsidRDefault="00D21386" w:rsidP="007772C4">
      <w:pPr>
        <w:jc w:val="center"/>
        <w:rPr>
          <w:lang w:val="pt-PT"/>
        </w:rPr>
      </w:pPr>
    </w:p>
    <w:p w:rsidR="00E77CB3" w:rsidRPr="007772C4" w:rsidRDefault="00314B2C" w:rsidP="007772C4">
      <w:pPr>
        <w:jc w:val="center"/>
        <w:rPr>
          <w:lang w:val="fr-FR"/>
        </w:rPr>
      </w:pPr>
      <w:r w:rsidRPr="007772C4">
        <w:rPr>
          <w:lang w:val="fr-FR"/>
        </w:rPr>
        <w:t>PREMIÈRE SECTION</w:t>
      </w:r>
    </w:p>
    <w:p w:rsidR="00E77CB3" w:rsidRPr="007772C4" w:rsidRDefault="00E77CB3" w:rsidP="007772C4">
      <w:pPr>
        <w:jc w:val="center"/>
        <w:rPr>
          <w:lang w:val="fr-FR"/>
        </w:rPr>
      </w:pPr>
    </w:p>
    <w:p w:rsidR="00D21386" w:rsidRPr="007772C4" w:rsidRDefault="00D21386" w:rsidP="007772C4">
      <w:pPr>
        <w:jc w:val="center"/>
        <w:rPr>
          <w:lang w:val="fr-FR"/>
        </w:rPr>
      </w:pPr>
    </w:p>
    <w:p w:rsidR="00D21386" w:rsidRPr="007772C4" w:rsidRDefault="00D21386" w:rsidP="007772C4">
      <w:pPr>
        <w:jc w:val="center"/>
        <w:rPr>
          <w:lang w:val="fr-FR"/>
        </w:rPr>
      </w:pPr>
    </w:p>
    <w:p w:rsidR="00D21386" w:rsidRPr="007772C4" w:rsidRDefault="00D21386" w:rsidP="007772C4">
      <w:pPr>
        <w:jc w:val="center"/>
        <w:rPr>
          <w:lang w:val="fr-FR"/>
        </w:rPr>
      </w:pPr>
    </w:p>
    <w:p w:rsidR="00D21386" w:rsidRPr="007772C4" w:rsidRDefault="00D21386" w:rsidP="007772C4">
      <w:pPr>
        <w:jc w:val="center"/>
        <w:rPr>
          <w:lang w:val="fr-FR"/>
        </w:rPr>
      </w:pPr>
    </w:p>
    <w:p w:rsidR="00D21386" w:rsidRPr="007772C4" w:rsidRDefault="00D21386" w:rsidP="007772C4">
      <w:pPr>
        <w:jc w:val="center"/>
        <w:rPr>
          <w:lang w:val="fr-FR"/>
        </w:rPr>
      </w:pPr>
    </w:p>
    <w:p w:rsidR="00E77CB3" w:rsidRPr="007772C4" w:rsidRDefault="00E77CB3" w:rsidP="007772C4">
      <w:pPr>
        <w:jc w:val="center"/>
        <w:rPr>
          <w:b/>
          <w:lang w:val="fr-FR"/>
        </w:rPr>
      </w:pPr>
      <w:bookmarkStart w:id="1" w:name="To"/>
      <w:r w:rsidRPr="007772C4">
        <w:rPr>
          <w:b/>
          <w:lang w:val="fr-FR"/>
        </w:rPr>
        <w:t xml:space="preserve">AFFAIRE </w:t>
      </w:r>
      <w:bookmarkEnd w:id="1"/>
      <w:r w:rsidR="00314B2C" w:rsidRPr="007772C4">
        <w:rPr>
          <w:b/>
          <w:lang w:val="fr-FR"/>
        </w:rPr>
        <w:t>CAFAGNA c. ITALIE</w:t>
      </w:r>
    </w:p>
    <w:p w:rsidR="00E77CB3" w:rsidRPr="007772C4" w:rsidRDefault="00E77CB3" w:rsidP="007772C4">
      <w:pPr>
        <w:jc w:val="center"/>
        <w:rPr>
          <w:lang w:val="fr-FR"/>
        </w:rPr>
      </w:pPr>
    </w:p>
    <w:p w:rsidR="00D21386" w:rsidRPr="007772C4" w:rsidRDefault="00E77CB3" w:rsidP="007772C4">
      <w:pPr>
        <w:jc w:val="center"/>
        <w:rPr>
          <w:rFonts w:ascii="Times New Roman" w:hAnsi="Times New Roman" w:cs="Times New Roman"/>
          <w:color w:val="000000"/>
          <w:szCs w:val="24"/>
          <w:lang w:val="fr-FR"/>
        </w:rPr>
      </w:pPr>
      <w:r w:rsidRPr="007772C4">
        <w:rPr>
          <w:i/>
          <w:lang w:val="fr-FR"/>
        </w:rPr>
        <w:t>(</w:t>
      </w:r>
      <w:r w:rsidR="00314B2C" w:rsidRPr="007772C4">
        <w:rPr>
          <w:i/>
          <w:lang w:val="fr-FR"/>
        </w:rPr>
        <w:t>Requête n</w:t>
      </w:r>
      <w:r w:rsidR="00314B2C" w:rsidRPr="007772C4">
        <w:rPr>
          <w:i/>
          <w:vertAlign w:val="superscript"/>
          <w:lang w:val="fr-FR"/>
        </w:rPr>
        <w:t>o</w:t>
      </w:r>
      <w:r w:rsidR="00314B2C" w:rsidRPr="007772C4">
        <w:rPr>
          <w:i/>
          <w:lang w:val="fr-FR"/>
        </w:rPr>
        <w:t xml:space="preserve"> 26073/13</w:t>
      </w:r>
      <w:r w:rsidRPr="007772C4">
        <w:rPr>
          <w:i/>
          <w:lang w:val="fr-FR"/>
        </w:rPr>
        <w:t>)</w:t>
      </w:r>
    </w:p>
    <w:p w:rsidR="00D21386" w:rsidRPr="007772C4" w:rsidRDefault="00D21386" w:rsidP="007772C4">
      <w:pPr>
        <w:jc w:val="center"/>
        <w:rPr>
          <w:rFonts w:ascii="Times New Roman" w:hAnsi="Times New Roman" w:cs="Times New Roman"/>
          <w:color w:val="000000"/>
          <w:szCs w:val="24"/>
          <w:lang w:val="fr-FR"/>
        </w:rPr>
      </w:pPr>
    </w:p>
    <w:p w:rsidR="00D21386" w:rsidRPr="007772C4" w:rsidRDefault="00D21386" w:rsidP="007772C4">
      <w:pPr>
        <w:jc w:val="center"/>
        <w:rPr>
          <w:rFonts w:ascii="Times New Roman" w:hAnsi="Times New Roman" w:cs="Times New Roman"/>
          <w:color w:val="000000"/>
          <w:szCs w:val="24"/>
          <w:lang w:val="fr-FR"/>
        </w:rPr>
      </w:pPr>
    </w:p>
    <w:p w:rsidR="00D21386" w:rsidRPr="007772C4" w:rsidRDefault="00D21386" w:rsidP="007772C4">
      <w:pPr>
        <w:jc w:val="center"/>
        <w:rPr>
          <w:rFonts w:ascii="Times New Roman" w:hAnsi="Times New Roman" w:cs="Times New Roman"/>
          <w:color w:val="000000"/>
          <w:szCs w:val="24"/>
          <w:lang w:val="fr-FR"/>
        </w:rPr>
      </w:pPr>
    </w:p>
    <w:p w:rsidR="00D21386" w:rsidRPr="007772C4" w:rsidRDefault="00D21386" w:rsidP="007772C4">
      <w:pPr>
        <w:jc w:val="center"/>
        <w:rPr>
          <w:rFonts w:ascii="Times New Roman" w:hAnsi="Times New Roman" w:cs="Times New Roman"/>
          <w:color w:val="000000"/>
          <w:szCs w:val="24"/>
          <w:lang w:val="fr-FR"/>
        </w:rPr>
      </w:pPr>
    </w:p>
    <w:p w:rsidR="00D21386" w:rsidRPr="007772C4" w:rsidRDefault="00D21386" w:rsidP="007772C4">
      <w:pPr>
        <w:jc w:val="center"/>
        <w:rPr>
          <w:rFonts w:ascii="Times New Roman" w:hAnsi="Times New Roman" w:cs="Times New Roman"/>
          <w:color w:val="000000"/>
          <w:szCs w:val="24"/>
          <w:lang w:val="fr-FR"/>
        </w:rPr>
      </w:pPr>
    </w:p>
    <w:p w:rsidR="00D21386" w:rsidRPr="007772C4" w:rsidRDefault="00D21386" w:rsidP="007772C4">
      <w:pPr>
        <w:jc w:val="center"/>
        <w:rPr>
          <w:rFonts w:ascii="Times New Roman" w:hAnsi="Times New Roman" w:cs="Times New Roman"/>
          <w:color w:val="000000"/>
          <w:szCs w:val="24"/>
          <w:lang w:val="fr-FR"/>
        </w:rPr>
      </w:pPr>
    </w:p>
    <w:p w:rsidR="007772C4" w:rsidRPr="007772C4" w:rsidRDefault="007772C4" w:rsidP="007772C4">
      <w:pPr>
        <w:jc w:val="center"/>
        <w:rPr>
          <w:rFonts w:ascii="Times New Roman" w:hAnsi="Times New Roman" w:cs="Times New Roman"/>
          <w:color w:val="000000"/>
          <w:szCs w:val="24"/>
          <w:lang w:val="fr-FR"/>
        </w:rPr>
      </w:pPr>
    </w:p>
    <w:p w:rsidR="007772C4" w:rsidRPr="007772C4" w:rsidRDefault="007772C4" w:rsidP="007772C4">
      <w:pPr>
        <w:jc w:val="center"/>
        <w:rPr>
          <w:lang w:val="pt-PT"/>
        </w:rPr>
      </w:pPr>
    </w:p>
    <w:p w:rsidR="007772C4" w:rsidRPr="007772C4" w:rsidRDefault="007772C4" w:rsidP="007772C4">
      <w:pPr>
        <w:jc w:val="center"/>
        <w:rPr>
          <w:lang w:val="pt-PT"/>
        </w:rPr>
      </w:pPr>
    </w:p>
    <w:p w:rsidR="00D21386" w:rsidRPr="007772C4" w:rsidRDefault="00D21386" w:rsidP="007772C4">
      <w:pPr>
        <w:jc w:val="center"/>
        <w:rPr>
          <w:lang w:val="pt-PT"/>
        </w:rPr>
      </w:pPr>
    </w:p>
    <w:p w:rsidR="00D21386" w:rsidRPr="007772C4" w:rsidRDefault="00D21386" w:rsidP="007772C4">
      <w:pPr>
        <w:jc w:val="center"/>
        <w:rPr>
          <w:lang w:val="pt-PT"/>
        </w:rPr>
      </w:pPr>
    </w:p>
    <w:p w:rsidR="00B47E36" w:rsidRPr="007772C4" w:rsidRDefault="00B47E36" w:rsidP="007772C4">
      <w:pPr>
        <w:jc w:val="center"/>
        <w:rPr>
          <w:lang w:val="pt-PT"/>
        </w:rPr>
      </w:pPr>
    </w:p>
    <w:p w:rsidR="00D21386" w:rsidRPr="007772C4" w:rsidRDefault="00D21386" w:rsidP="007772C4">
      <w:pPr>
        <w:jc w:val="center"/>
        <w:rPr>
          <w:lang w:val="pt-PT"/>
        </w:rPr>
      </w:pPr>
      <w:r w:rsidRPr="007772C4">
        <w:rPr>
          <w:lang w:val="pt-PT"/>
        </w:rPr>
        <w:t>ARRÊT</w:t>
      </w:r>
    </w:p>
    <w:p w:rsidR="00D21386" w:rsidRPr="007772C4" w:rsidRDefault="00D21386" w:rsidP="007772C4">
      <w:pPr>
        <w:jc w:val="center"/>
        <w:rPr>
          <w:lang w:val="pt-PT"/>
        </w:rPr>
      </w:pPr>
    </w:p>
    <w:p w:rsidR="00D21386" w:rsidRPr="007772C4" w:rsidRDefault="00D21386" w:rsidP="007772C4">
      <w:pPr>
        <w:jc w:val="center"/>
        <w:rPr>
          <w:lang w:val="pt-PT"/>
        </w:rPr>
      </w:pPr>
    </w:p>
    <w:p w:rsidR="00D21386" w:rsidRPr="007772C4" w:rsidRDefault="00D21386" w:rsidP="007772C4">
      <w:pPr>
        <w:jc w:val="center"/>
        <w:rPr>
          <w:lang w:val="pt-PT"/>
        </w:rPr>
      </w:pPr>
      <w:r w:rsidRPr="007772C4">
        <w:rPr>
          <w:lang w:val="pt-PT"/>
        </w:rPr>
        <w:t>STRASBOURG</w:t>
      </w:r>
    </w:p>
    <w:p w:rsidR="00D21386" w:rsidRPr="007772C4" w:rsidRDefault="00D21386" w:rsidP="007772C4">
      <w:pPr>
        <w:jc w:val="center"/>
        <w:rPr>
          <w:lang w:val="pt-PT"/>
        </w:rPr>
      </w:pPr>
    </w:p>
    <w:p w:rsidR="00D21386" w:rsidRPr="007772C4" w:rsidRDefault="00D21386" w:rsidP="007772C4">
      <w:pPr>
        <w:jc w:val="center"/>
        <w:rPr>
          <w:lang w:val="pt-PT"/>
        </w:rPr>
      </w:pPr>
      <w:r w:rsidRPr="007772C4">
        <w:rPr>
          <w:lang w:val="pt-PT"/>
        </w:rPr>
        <w:t>12 octobre 2017</w:t>
      </w:r>
    </w:p>
    <w:p w:rsidR="00D21386" w:rsidRPr="007772C4" w:rsidRDefault="00D21386" w:rsidP="007772C4">
      <w:pPr>
        <w:jc w:val="center"/>
        <w:rPr>
          <w:lang w:val="pt-PT"/>
        </w:rPr>
      </w:pPr>
    </w:p>
    <w:p w:rsidR="002C17C7" w:rsidRPr="007772C4" w:rsidRDefault="002C17C7" w:rsidP="007772C4">
      <w:pPr>
        <w:jc w:val="center"/>
        <w:rPr>
          <w:lang w:val="pt-PT"/>
        </w:rPr>
      </w:pPr>
    </w:p>
    <w:p w:rsidR="002C17C7" w:rsidRPr="007772C4" w:rsidRDefault="002C17C7" w:rsidP="007772C4">
      <w:pPr>
        <w:jc w:val="center"/>
        <w:rPr>
          <w:lang w:val="pt-PT"/>
        </w:rPr>
      </w:pPr>
    </w:p>
    <w:p w:rsidR="00D21386" w:rsidRPr="007772C4" w:rsidRDefault="00D21386" w:rsidP="007772C4">
      <w:pPr>
        <w:jc w:val="center"/>
        <w:rPr>
          <w:lang w:val="pt-PT"/>
        </w:rPr>
      </w:pPr>
    </w:p>
    <w:p w:rsidR="002C17C7" w:rsidRPr="007772C4" w:rsidRDefault="00D21386" w:rsidP="007772C4">
      <w:pPr>
        <w:jc w:val="left"/>
        <w:rPr>
          <w:i/>
          <w:sz w:val="22"/>
          <w:lang w:val="pt-PT"/>
        </w:rPr>
      </w:pPr>
      <w:r w:rsidRPr="007772C4">
        <w:rPr>
          <w:i/>
          <w:sz w:val="22"/>
          <w:lang w:val="pt-PT"/>
        </w:rPr>
        <w:t>Cet arrêt deviendra définitif dans les conditions définies à l</w:t>
      </w:r>
      <w:r w:rsidR="007772C4" w:rsidRPr="007772C4">
        <w:rPr>
          <w:i/>
          <w:sz w:val="22"/>
          <w:lang w:val="pt-PT"/>
        </w:rPr>
        <w:t>’</w:t>
      </w:r>
      <w:r w:rsidRPr="007772C4">
        <w:rPr>
          <w:i/>
          <w:sz w:val="22"/>
          <w:lang w:val="pt-PT"/>
        </w:rPr>
        <w:t>article 44 § 2 de la Convention. Il peut subir des retouches de forme.</w:t>
      </w:r>
    </w:p>
    <w:p w:rsidR="002C17C7" w:rsidRPr="007772C4" w:rsidRDefault="002C17C7" w:rsidP="007772C4">
      <w:pPr>
        <w:pStyle w:val="ECHRPara"/>
        <w:ind w:firstLine="0"/>
        <w:rPr>
          <w:lang w:val="fr-FR"/>
        </w:rPr>
        <w:sectPr w:rsidR="002C17C7" w:rsidRPr="007772C4" w:rsidSect="00D21386">
          <w:head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E77CB3" w:rsidRPr="007772C4" w:rsidRDefault="00E77CB3" w:rsidP="007772C4">
      <w:pPr>
        <w:pStyle w:val="JuCase"/>
        <w:rPr>
          <w:lang w:val="fr-FR"/>
        </w:rPr>
      </w:pPr>
      <w:r w:rsidRPr="007772C4">
        <w:rPr>
          <w:lang w:val="fr-FR"/>
        </w:rPr>
        <w:lastRenderedPageBreak/>
        <w:t>En l</w:t>
      </w:r>
      <w:r w:rsidR="007772C4" w:rsidRPr="007772C4">
        <w:rPr>
          <w:lang w:val="fr-FR"/>
        </w:rPr>
        <w:t>’</w:t>
      </w:r>
      <w:r w:rsidRPr="007772C4">
        <w:rPr>
          <w:lang w:val="fr-FR"/>
        </w:rPr>
        <w:t xml:space="preserve">affaire </w:t>
      </w:r>
      <w:proofErr w:type="spellStart"/>
      <w:r w:rsidR="00314B2C" w:rsidRPr="007772C4">
        <w:rPr>
          <w:lang w:val="fr-FR"/>
        </w:rPr>
        <w:t>Cafagna</w:t>
      </w:r>
      <w:proofErr w:type="spellEnd"/>
      <w:r w:rsidR="00314B2C" w:rsidRPr="007772C4">
        <w:rPr>
          <w:lang w:val="fr-FR"/>
        </w:rPr>
        <w:t xml:space="preserve"> c. Italie</w:t>
      </w:r>
      <w:r w:rsidRPr="007772C4">
        <w:rPr>
          <w:lang w:val="fr-FR"/>
        </w:rPr>
        <w:t>,</w:t>
      </w:r>
    </w:p>
    <w:p w:rsidR="00E77CB3" w:rsidRPr="007772C4" w:rsidRDefault="00E77CB3" w:rsidP="007772C4">
      <w:pPr>
        <w:pStyle w:val="ECHRPara"/>
        <w:rPr>
          <w:lang w:val="fr-FR"/>
        </w:rPr>
      </w:pPr>
      <w:r w:rsidRPr="007772C4">
        <w:rPr>
          <w:lang w:val="fr-FR"/>
        </w:rPr>
        <w:t>La Cour européenne des droits de l</w:t>
      </w:r>
      <w:r w:rsidR="007772C4" w:rsidRPr="007772C4">
        <w:rPr>
          <w:lang w:val="fr-FR"/>
        </w:rPr>
        <w:t>’</w:t>
      </w:r>
      <w:r w:rsidRPr="007772C4">
        <w:rPr>
          <w:lang w:val="fr-FR"/>
        </w:rPr>
        <w:t>homme (</w:t>
      </w:r>
      <w:r w:rsidR="00314B2C" w:rsidRPr="007772C4">
        <w:rPr>
          <w:lang w:val="fr-FR"/>
        </w:rPr>
        <w:t>première section</w:t>
      </w:r>
      <w:r w:rsidRPr="007772C4">
        <w:rPr>
          <w:lang w:val="fr-FR"/>
        </w:rPr>
        <w:t xml:space="preserve">), siégeant en </w:t>
      </w:r>
      <w:r w:rsidR="00314B2C" w:rsidRPr="007772C4">
        <w:rPr>
          <w:lang w:val="fr-FR"/>
        </w:rPr>
        <w:t>une Chambre composée</w:t>
      </w:r>
      <w:r w:rsidRPr="007772C4">
        <w:rPr>
          <w:lang w:val="fr-FR"/>
        </w:rPr>
        <w:t xml:space="preserve"> de :</w:t>
      </w:r>
    </w:p>
    <w:p w:rsidR="00E77CB3" w:rsidRPr="007772C4" w:rsidRDefault="00D21386" w:rsidP="007772C4">
      <w:pPr>
        <w:pStyle w:val="ECHRDecisionBody"/>
        <w:rPr>
          <w:lang w:val="fr-FR"/>
        </w:rPr>
      </w:pPr>
      <w:r w:rsidRPr="007772C4">
        <w:rPr>
          <w:lang w:val="fr-FR"/>
        </w:rPr>
        <w:tab/>
        <w:t xml:space="preserve">Kristina </w:t>
      </w:r>
      <w:proofErr w:type="spellStart"/>
      <w:r w:rsidRPr="007772C4">
        <w:rPr>
          <w:lang w:val="fr-FR"/>
        </w:rPr>
        <w:t>Pardalos</w:t>
      </w:r>
      <w:proofErr w:type="spellEnd"/>
      <w:r w:rsidRPr="007772C4">
        <w:rPr>
          <w:lang w:val="fr-FR"/>
        </w:rPr>
        <w:t>,</w:t>
      </w:r>
      <w:r w:rsidRPr="007772C4">
        <w:rPr>
          <w:i/>
          <w:lang w:val="fr-FR"/>
        </w:rPr>
        <w:t xml:space="preserve"> présidente,</w:t>
      </w:r>
      <w:r w:rsidRPr="007772C4">
        <w:rPr>
          <w:i/>
          <w:lang w:val="fr-FR"/>
        </w:rPr>
        <w:br/>
      </w:r>
      <w:r w:rsidRPr="007772C4">
        <w:rPr>
          <w:lang w:val="fr-FR"/>
        </w:rPr>
        <w:tab/>
        <w:t>Guido Raimondi,</w:t>
      </w:r>
      <w:r w:rsidRPr="007772C4">
        <w:rPr>
          <w:i/>
          <w:lang w:val="fr-FR"/>
        </w:rPr>
        <w:br/>
      </w:r>
      <w:r w:rsidRPr="007772C4">
        <w:rPr>
          <w:lang w:val="fr-FR"/>
        </w:rPr>
        <w:tab/>
      </w:r>
      <w:proofErr w:type="spellStart"/>
      <w:r w:rsidRPr="007772C4">
        <w:rPr>
          <w:lang w:val="fr-FR"/>
        </w:rPr>
        <w:t>Aleš</w:t>
      </w:r>
      <w:proofErr w:type="spellEnd"/>
      <w:r w:rsidRPr="007772C4">
        <w:rPr>
          <w:lang w:val="fr-FR"/>
        </w:rPr>
        <w:t xml:space="preserve"> </w:t>
      </w:r>
      <w:proofErr w:type="spellStart"/>
      <w:r w:rsidRPr="007772C4">
        <w:rPr>
          <w:lang w:val="fr-FR"/>
        </w:rPr>
        <w:t>Pejchal</w:t>
      </w:r>
      <w:proofErr w:type="spellEnd"/>
      <w:r w:rsidRPr="007772C4">
        <w:rPr>
          <w:lang w:val="fr-FR"/>
        </w:rPr>
        <w:t>,</w:t>
      </w:r>
      <w:r w:rsidRPr="007772C4">
        <w:rPr>
          <w:i/>
          <w:lang w:val="fr-FR"/>
        </w:rPr>
        <w:br/>
      </w:r>
      <w:r w:rsidRPr="007772C4">
        <w:rPr>
          <w:lang w:val="fr-FR"/>
        </w:rPr>
        <w:tab/>
        <w:t xml:space="preserve">Krzysztof </w:t>
      </w:r>
      <w:proofErr w:type="spellStart"/>
      <w:r w:rsidRPr="007772C4">
        <w:rPr>
          <w:lang w:val="fr-FR"/>
        </w:rPr>
        <w:t>Wojtyczek</w:t>
      </w:r>
      <w:proofErr w:type="spellEnd"/>
      <w:r w:rsidRPr="007772C4">
        <w:rPr>
          <w:lang w:val="fr-FR"/>
        </w:rPr>
        <w:t>,</w:t>
      </w:r>
      <w:r w:rsidRPr="007772C4">
        <w:rPr>
          <w:i/>
          <w:lang w:val="fr-FR"/>
        </w:rPr>
        <w:br/>
      </w:r>
      <w:r w:rsidRPr="007772C4">
        <w:rPr>
          <w:lang w:val="fr-FR"/>
        </w:rPr>
        <w:tab/>
      </w:r>
      <w:proofErr w:type="spellStart"/>
      <w:r w:rsidRPr="007772C4">
        <w:rPr>
          <w:lang w:val="fr-FR"/>
        </w:rPr>
        <w:t>Ksenija</w:t>
      </w:r>
      <w:proofErr w:type="spellEnd"/>
      <w:r w:rsidRPr="007772C4">
        <w:rPr>
          <w:lang w:val="fr-FR"/>
        </w:rPr>
        <w:t xml:space="preserve"> </w:t>
      </w:r>
      <w:proofErr w:type="spellStart"/>
      <w:r w:rsidRPr="007772C4">
        <w:rPr>
          <w:lang w:val="fr-FR"/>
        </w:rPr>
        <w:t>Turković</w:t>
      </w:r>
      <w:proofErr w:type="spellEnd"/>
      <w:r w:rsidRPr="007772C4">
        <w:rPr>
          <w:lang w:val="fr-FR"/>
        </w:rPr>
        <w:t>,</w:t>
      </w:r>
      <w:r w:rsidRPr="007772C4">
        <w:rPr>
          <w:i/>
          <w:lang w:val="fr-FR"/>
        </w:rPr>
        <w:br/>
      </w:r>
      <w:r w:rsidRPr="007772C4">
        <w:rPr>
          <w:lang w:val="fr-FR"/>
        </w:rPr>
        <w:tab/>
      </w:r>
      <w:proofErr w:type="spellStart"/>
      <w:r w:rsidRPr="007772C4">
        <w:rPr>
          <w:lang w:val="fr-FR"/>
        </w:rPr>
        <w:t>Pauliine</w:t>
      </w:r>
      <w:proofErr w:type="spellEnd"/>
      <w:r w:rsidRPr="007772C4">
        <w:rPr>
          <w:lang w:val="fr-FR"/>
        </w:rPr>
        <w:t xml:space="preserve"> </w:t>
      </w:r>
      <w:proofErr w:type="spellStart"/>
      <w:r w:rsidRPr="007772C4">
        <w:rPr>
          <w:lang w:val="fr-FR"/>
        </w:rPr>
        <w:t>Koskelo</w:t>
      </w:r>
      <w:proofErr w:type="spellEnd"/>
      <w:r w:rsidRPr="007772C4">
        <w:rPr>
          <w:lang w:val="fr-FR"/>
        </w:rPr>
        <w:t>,</w:t>
      </w:r>
      <w:r w:rsidRPr="007772C4">
        <w:rPr>
          <w:i/>
          <w:lang w:val="fr-FR"/>
        </w:rPr>
        <w:br/>
      </w:r>
      <w:r w:rsidRPr="007772C4">
        <w:rPr>
          <w:lang w:val="fr-FR"/>
        </w:rPr>
        <w:tab/>
        <w:t xml:space="preserve">Tim </w:t>
      </w:r>
      <w:proofErr w:type="spellStart"/>
      <w:r w:rsidRPr="007772C4">
        <w:rPr>
          <w:lang w:val="fr-FR"/>
        </w:rPr>
        <w:t>Eicke</w:t>
      </w:r>
      <w:proofErr w:type="spellEnd"/>
      <w:r w:rsidRPr="007772C4">
        <w:rPr>
          <w:lang w:val="fr-FR"/>
        </w:rPr>
        <w:t>,</w:t>
      </w:r>
      <w:r w:rsidRPr="007772C4">
        <w:rPr>
          <w:i/>
          <w:lang w:val="fr-FR"/>
        </w:rPr>
        <w:t xml:space="preserve"> juges</w:t>
      </w:r>
      <w:proofErr w:type="gramStart"/>
      <w:r w:rsidRPr="007772C4">
        <w:rPr>
          <w:i/>
          <w:lang w:val="fr-FR"/>
        </w:rPr>
        <w:t>,</w:t>
      </w:r>
      <w:proofErr w:type="gramEnd"/>
      <w:r w:rsidR="00E77CB3" w:rsidRPr="007772C4">
        <w:rPr>
          <w:lang w:val="fr-FR"/>
        </w:rPr>
        <w:br/>
        <w:t xml:space="preserve">et de </w:t>
      </w:r>
      <w:r w:rsidR="00314B2C" w:rsidRPr="007772C4">
        <w:rPr>
          <w:lang w:val="fr-FR"/>
        </w:rPr>
        <w:t>Abel Campos</w:t>
      </w:r>
      <w:r w:rsidR="00E77CB3" w:rsidRPr="007772C4">
        <w:rPr>
          <w:lang w:val="fr-FR"/>
        </w:rPr>
        <w:t xml:space="preserve">, </w:t>
      </w:r>
      <w:r w:rsidR="00314B2C" w:rsidRPr="007772C4">
        <w:rPr>
          <w:i/>
          <w:lang w:val="fr-FR"/>
        </w:rPr>
        <w:t>greffier</w:t>
      </w:r>
      <w:r w:rsidR="00314B2C" w:rsidRPr="007772C4">
        <w:rPr>
          <w:iCs/>
          <w:lang w:val="fr-FR"/>
        </w:rPr>
        <w:t xml:space="preserve"> </w:t>
      </w:r>
      <w:r w:rsidR="00314B2C" w:rsidRPr="007772C4">
        <w:rPr>
          <w:i/>
          <w:iCs/>
          <w:lang w:val="fr-FR"/>
        </w:rPr>
        <w:t>d</w:t>
      </w:r>
      <w:r w:rsidR="00314B2C" w:rsidRPr="007772C4">
        <w:rPr>
          <w:i/>
          <w:lang w:val="fr-FR"/>
        </w:rPr>
        <w:t>e section</w:t>
      </w:r>
      <w:r w:rsidR="00E77CB3" w:rsidRPr="007772C4">
        <w:rPr>
          <w:lang w:val="fr-FR"/>
        </w:rPr>
        <w:t>,</w:t>
      </w:r>
    </w:p>
    <w:p w:rsidR="00E77CB3" w:rsidRPr="007772C4" w:rsidRDefault="00E77CB3" w:rsidP="007772C4">
      <w:pPr>
        <w:pStyle w:val="ECHRPara"/>
        <w:rPr>
          <w:lang w:val="fr-FR"/>
        </w:rPr>
      </w:pPr>
      <w:r w:rsidRPr="007772C4">
        <w:rPr>
          <w:lang w:val="fr-FR"/>
        </w:rPr>
        <w:t xml:space="preserve">Après en avoir délibéré en chambre du conseil le </w:t>
      </w:r>
      <w:r w:rsidR="00D21386" w:rsidRPr="007772C4">
        <w:rPr>
          <w:lang w:val="fr-FR"/>
        </w:rPr>
        <w:t>12 septembre 2017</w:t>
      </w:r>
      <w:r w:rsidRPr="007772C4">
        <w:rPr>
          <w:lang w:val="fr-FR"/>
        </w:rPr>
        <w:t>,</w:t>
      </w:r>
    </w:p>
    <w:p w:rsidR="00E77CB3" w:rsidRPr="007772C4" w:rsidRDefault="00E77CB3" w:rsidP="007772C4">
      <w:pPr>
        <w:pStyle w:val="ECHRPara"/>
        <w:rPr>
          <w:lang w:val="fr-FR"/>
        </w:rPr>
      </w:pPr>
      <w:r w:rsidRPr="007772C4">
        <w:rPr>
          <w:lang w:val="fr-FR"/>
        </w:rPr>
        <w:t>Rend l</w:t>
      </w:r>
      <w:r w:rsidR="007772C4" w:rsidRPr="007772C4">
        <w:rPr>
          <w:lang w:val="fr-FR"/>
        </w:rPr>
        <w:t>’</w:t>
      </w:r>
      <w:r w:rsidRPr="007772C4">
        <w:rPr>
          <w:lang w:val="fr-FR"/>
        </w:rPr>
        <w:t>arrêt que voici, adopté à cette date :</w:t>
      </w:r>
    </w:p>
    <w:p w:rsidR="00E77CB3" w:rsidRPr="007772C4" w:rsidRDefault="00E77CB3" w:rsidP="007772C4">
      <w:pPr>
        <w:pStyle w:val="ECHRTitle1"/>
        <w:rPr>
          <w:lang w:val="fr-FR"/>
        </w:rPr>
      </w:pPr>
      <w:r w:rsidRPr="007772C4">
        <w:rPr>
          <w:lang w:val="fr-FR"/>
        </w:rPr>
        <w:t>PROCÉDURE</w:t>
      </w:r>
    </w:p>
    <w:p w:rsidR="00E77CB3" w:rsidRPr="007772C4" w:rsidRDefault="00F710EE" w:rsidP="007772C4">
      <w:pPr>
        <w:pStyle w:val="ECHRPara"/>
        <w:rPr>
          <w:lang w:val="fr-FR"/>
        </w:rPr>
      </w:pPr>
      <w:r w:rsidRPr="007772C4">
        <w:rPr>
          <w:lang w:val="fr-FR"/>
        </w:rPr>
        <w:fldChar w:fldCharType="begin"/>
      </w:r>
      <w:r w:rsidRPr="007772C4">
        <w:rPr>
          <w:lang w:val="fr-FR"/>
        </w:rPr>
        <w:instrText xml:space="preserve"> SEQ level0 \*arabic </w:instrText>
      </w:r>
      <w:r w:rsidRPr="007772C4">
        <w:rPr>
          <w:lang w:val="fr-FR"/>
        </w:rPr>
        <w:fldChar w:fldCharType="separate"/>
      </w:r>
      <w:r w:rsidR="007772C4" w:rsidRPr="007772C4">
        <w:rPr>
          <w:noProof/>
          <w:lang w:val="fr-FR"/>
        </w:rPr>
        <w:t>1</w:t>
      </w:r>
      <w:r w:rsidRPr="007772C4">
        <w:rPr>
          <w:lang w:val="fr-FR"/>
        </w:rPr>
        <w:fldChar w:fldCharType="end"/>
      </w:r>
      <w:r w:rsidRPr="007772C4">
        <w:rPr>
          <w:lang w:val="fr-FR"/>
        </w:rPr>
        <w:t>.  </w:t>
      </w:r>
      <w:r w:rsidR="00E77CB3" w:rsidRPr="007772C4">
        <w:rPr>
          <w:lang w:val="fr-FR"/>
        </w:rPr>
        <w:t>À l</w:t>
      </w:r>
      <w:r w:rsidR="007772C4" w:rsidRPr="007772C4">
        <w:rPr>
          <w:lang w:val="fr-FR"/>
        </w:rPr>
        <w:t>’</w:t>
      </w:r>
      <w:r w:rsidR="00E77CB3" w:rsidRPr="007772C4">
        <w:rPr>
          <w:lang w:val="fr-FR"/>
        </w:rPr>
        <w:t>origine de l</w:t>
      </w:r>
      <w:r w:rsidR="007772C4" w:rsidRPr="007772C4">
        <w:rPr>
          <w:lang w:val="fr-FR"/>
        </w:rPr>
        <w:t>’</w:t>
      </w:r>
      <w:r w:rsidR="00E77CB3" w:rsidRPr="007772C4">
        <w:rPr>
          <w:lang w:val="fr-FR"/>
        </w:rPr>
        <w:t xml:space="preserve">affaire </w:t>
      </w:r>
      <w:r w:rsidR="00314B2C" w:rsidRPr="007772C4">
        <w:rPr>
          <w:lang w:val="fr-FR"/>
        </w:rPr>
        <w:t>se trouve une requête (n</w:t>
      </w:r>
      <w:r w:rsidR="00314B2C" w:rsidRPr="007772C4">
        <w:rPr>
          <w:vertAlign w:val="superscript"/>
          <w:lang w:val="fr-FR"/>
        </w:rPr>
        <w:t>o</w:t>
      </w:r>
      <w:r w:rsidR="00314B2C" w:rsidRPr="007772C4">
        <w:rPr>
          <w:lang w:val="fr-FR"/>
        </w:rPr>
        <w:t xml:space="preserve"> 26073/13) dirigée</w:t>
      </w:r>
      <w:r w:rsidR="00E77CB3" w:rsidRPr="007772C4">
        <w:rPr>
          <w:lang w:val="fr-FR"/>
        </w:rPr>
        <w:t xml:space="preserve"> contre </w:t>
      </w:r>
      <w:r w:rsidR="00314B2C" w:rsidRPr="007772C4">
        <w:rPr>
          <w:lang w:val="fr-FR"/>
        </w:rPr>
        <w:t>la République italienne</w:t>
      </w:r>
      <w:r w:rsidR="00E77CB3" w:rsidRPr="007772C4">
        <w:rPr>
          <w:lang w:val="fr-FR"/>
        </w:rPr>
        <w:t xml:space="preserve"> et dont </w:t>
      </w:r>
      <w:r w:rsidR="00314B2C" w:rsidRPr="007772C4">
        <w:rPr>
          <w:lang w:val="fr-FR"/>
        </w:rPr>
        <w:t xml:space="preserve">un ressortissant </w:t>
      </w:r>
      <w:r w:rsidR="0025168A" w:rsidRPr="007772C4">
        <w:rPr>
          <w:lang w:val="fr-FR"/>
        </w:rPr>
        <w:t xml:space="preserve">de cet </w:t>
      </w:r>
      <w:r w:rsidR="0025168A" w:rsidRPr="007772C4">
        <w:rPr>
          <w:rFonts w:cstheme="minorHAnsi"/>
          <w:lang w:val="fr-FR"/>
        </w:rPr>
        <w:t>É</w:t>
      </w:r>
      <w:r w:rsidR="0025168A" w:rsidRPr="007772C4">
        <w:rPr>
          <w:lang w:val="fr-FR"/>
        </w:rPr>
        <w:t>tat</w:t>
      </w:r>
      <w:r w:rsidR="00314B2C" w:rsidRPr="007772C4">
        <w:rPr>
          <w:lang w:val="fr-FR"/>
        </w:rPr>
        <w:t>, M.</w:t>
      </w:r>
      <w:r w:rsidR="00642E46" w:rsidRPr="007772C4">
        <w:rPr>
          <w:lang w:val="fr-FR"/>
        </w:rPr>
        <w:t> </w:t>
      </w:r>
      <w:r w:rsidR="00314B2C" w:rsidRPr="007772C4">
        <w:rPr>
          <w:lang w:val="fr-FR"/>
        </w:rPr>
        <w:t xml:space="preserve">Gaetano </w:t>
      </w:r>
      <w:proofErr w:type="spellStart"/>
      <w:r w:rsidR="00314B2C" w:rsidRPr="007772C4">
        <w:rPr>
          <w:lang w:val="fr-FR"/>
        </w:rPr>
        <w:t>Cafagna</w:t>
      </w:r>
      <w:proofErr w:type="spellEnd"/>
      <w:r w:rsidR="00314B2C" w:rsidRPr="007772C4">
        <w:rPr>
          <w:lang w:val="fr-FR"/>
        </w:rPr>
        <w:t xml:space="preserve"> (« le requérant »), a saisi la Cour le 27 mars 2013</w:t>
      </w:r>
      <w:r w:rsidR="00E77CB3" w:rsidRPr="007772C4">
        <w:rPr>
          <w:lang w:val="fr-FR"/>
        </w:rPr>
        <w:t xml:space="preserve"> en vertu de </w:t>
      </w:r>
      <w:r w:rsidR="00314B2C" w:rsidRPr="007772C4">
        <w:rPr>
          <w:lang w:val="fr-FR"/>
        </w:rPr>
        <w:t>l</w:t>
      </w:r>
      <w:r w:rsidR="007772C4" w:rsidRPr="007772C4">
        <w:rPr>
          <w:lang w:val="fr-FR"/>
        </w:rPr>
        <w:t>’</w:t>
      </w:r>
      <w:r w:rsidR="00314B2C" w:rsidRPr="007772C4">
        <w:rPr>
          <w:lang w:val="fr-FR"/>
        </w:rPr>
        <w:t>article 34</w:t>
      </w:r>
      <w:r w:rsidR="00E77CB3" w:rsidRPr="007772C4">
        <w:rPr>
          <w:lang w:val="fr-FR"/>
        </w:rPr>
        <w:t xml:space="preserve"> de la Convention de</w:t>
      </w:r>
      <w:r w:rsidR="00615CAA" w:rsidRPr="007772C4">
        <w:rPr>
          <w:lang w:val="fr-FR"/>
        </w:rPr>
        <w:t xml:space="preserve"> </w:t>
      </w:r>
      <w:r w:rsidR="00E77CB3" w:rsidRPr="007772C4">
        <w:rPr>
          <w:lang w:val="fr-FR"/>
        </w:rPr>
        <w:t>sauvegarde des droits de l</w:t>
      </w:r>
      <w:r w:rsidR="007772C4" w:rsidRPr="007772C4">
        <w:rPr>
          <w:lang w:val="fr-FR"/>
        </w:rPr>
        <w:t>’</w:t>
      </w:r>
      <w:r w:rsidR="00E77CB3" w:rsidRPr="007772C4">
        <w:rPr>
          <w:lang w:val="fr-FR"/>
        </w:rPr>
        <w:t>homme et des libertés fondamentales (« la Convention »).</w:t>
      </w:r>
    </w:p>
    <w:p w:rsidR="00314B2C" w:rsidRPr="007772C4" w:rsidRDefault="00314B2C" w:rsidP="007772C4">
      <w:pPr>
        <w:pStyle w:val="ECHRPara"/>
        <w:rPr>
          <w:lang w:val="fr-FR"/>
        </w:rPr>
      </w:pPr>
      <w:r w:rsidRPr="007772C4">
        <w:rPr>
          <w:lang w:val="fr-FR"/>
        </w:rPr>
        <w:fldChar w:fldCharType="begin"/>
      </w:r>
      <w:r w:rsidRPr="007772C4">
        <w:rPr>
          <w:lang w:val="fr-FR"/>
        </w:rPr>
        <w:instrText xml:space="preserve"> SEQ level0 \*arabic </w:instrText>
      </w:r>
      <w:r w:rsidRPr="007772C4">
        <w:rPr>
          <w:lang w:val="fr-FR"/>
        </w:rPr>
        <w:fldChar w:fldCharType="separate"/>
      </w:r>
      <w:r w:rsidR="007772C4" w:rsidRPr="007772C4">
        <w:rPr>
          <w:noProof/>
          <w:lang w:val="fr-FR"/>
        </w:rPr>
        <w:t>2</w:t>
      </w:r>
      <w:r w:rsidRPr="007772C4">
        <w:rPr>
          <w:lang w:val="fr-FR"/>
        </w:rPr>
        <w:fldChar w:fldCharType="end"/>
      </w:r>
      <w:r w:rsidR="00E77CB3" w:rsidRPr="007772C4">
        <w:rPr>
          <w:lang w:val="fr-FR"/>
        </w:rPr>
        <w:t>.  </w:t>
      </w:r>
      <w:r w:rsidRPr="007772C4">
        <w:rPr>
          <w:lang w:val="fr-FR"/>
        </w:rPr>
        <w:t>Le requérant a été représenté par M</w:t>
      </w:r>
      <w:r w:rsidRPr="007772C4">
        <w:rPr>
          <w:vertAlign w:val="superscript"/>
          <w:lang w:val="fr-FR"/>
        </w:rPr>
        <w:t>e</w:t>
      </w:r>
      <w:r w:rsidRPr="007772C4">
        <w:rPr>
          <w:lang w:val="fr-FR"/>
        </w:rPr>
        <w:t xml:space="preserve"> G.R. </w:t>
      </w:r>
      <w:proofErr w:type="spellStart"/>
      <w:r w:rsidRPr="007772C4">
        <w:rPr>
          <w:lang w:val="fr-FR"/>
        </w:rPr>
        <w:t>Cioce</w:t>
      </w:r>
      <w:proofErr w:type="spellEnd"/>
      <w:r w:rsidRPr="007772C4">
        <w:rPr>
          <w:lang w:val="fr-FR"/>
        </w:rPr>
        <w:t xml:space="preserve">, avocat à Barletta. </w:t>
      </w:r>
      <w:r w:rsidR="00E77CB3" w:rsidRPr="007772C4">
        <w:rPr>
          <w:lang w:val="fr-FR"/>
        </w:rPr>
        <w:t xml:space="preserve">Le gouvernement </w:t>
      </w:r>
      <w:r w:rsidRPr="007772C4">
        <w:rPr>
          <w:lang w:val="fr-FR"/>
        </w:rPr>
        <w:t>italien</w:t>
      </w:r>
      <w:r w:rsidR="00E77CB3" w:rsidRPr="007772C4">
        <w:rPr>
          <w:lang w:val="fr-FR"/>
        </w:rPr>
        <w:t xml:space="preserve"> (« le Gouvernement ») a été représenté par son agent</w:t>
      </w:r>
      <w:r w:rsidR="00AE148B" w:rsidRPr="007772C4">
        <w:rPr>
          <w:lang w:val="fr-FR"/>
        </w:rPr>
        <w:t>e</w:t>
      </w:r>
      <w:r w:rsidR="00E77CB3" w:rsidRPr="007772C4">
        <w:rPr>
          <w:lang w:val="fr-FR"/>
        </w:rPr>
        <w:t>,</w:t>
      </w:r>
      <w:r w:rsidR="00E56E79" w:rsidRPr="007772C4">
        <w:rPr>
          <w:lang w:val="fr-FR"/>
        </w:rPr>
        <w:t xml:space="preserve"> M</w:t>
      </w:r>
      <w:r w:rsidR="00E56E79" w:rsidRPr="007772C4">
        <w:rPr>
          <w:vertAlign w:val="superscript"/>
          <w:lang w:val="fr-FR"/>
        </w:rPr>
        <w:t>me</w:t>
      </w:r>
      <w:r w:rsidR="00E56E79" w:rsidRPr="007772C4">
        <w:rPr>
          <w:lang w:val="fr-FR"/>
        </w:rPr>
        <w:t xml:space="preserve"> E. Spatafora, et par s</w:t>
      </w:r>
      <w:r w:rsidR="00AE148B" w:rsidRPr="007772C4">
        <w:rPr>
          <w:lang w:val="fr-FR"/>
        </w:rPr>
        <w:t>a</w:t>
      </w:r>
      <w:r w:rsidR="00E56E79" w:rsidRPr="007772C4">
        <w:rPr>
          <w:lang w:val="fr-FR"/>
        </w:rPr>
        <w:t xml:space="preserve"> coagent</w:t>
      </w:r>
      <w:r w:rsidR="00AE148B" w:rsidRPr="007772C4">
        <w:rPr>
          <w:lang w:val="fr-FR"/>
        </w:rPr>
        <w:t>e</w:t>
      </w:r>
      <w:r w:rsidR="00A4234F" w:rsidRPr="007772C4">
        <w:rPr>
          <w:lang w:val="fr-FR"/>
        </w:rPr>
        <w:t>,</w:t>
      </w:r>
      <w:r w:rsidR="00E56E79" w:rsidRPr="007772C4">
        <w:rPr>
          <w:lang w:val="fr-FR"/>
        </w:rPr>
        <w:t xml:space="preserve"> M</w:t>
      </w:r>
      <w:r w:rsidR="00E56E79" w:rsidRPr="007772C4">
        <w:rPr>
          <w:vertAlign w:val="superscript"/>
          <w:lang w:val="fr-FR"/>
        </w:rPr>
        <w:t>me</w:t>
      </w:r>
      <w:r w:rsidR="00E77CB3" w:rsidRPr="007772C4">
        <w:rPr>
          <w:lang w:val="fr-FR"/>
        </w:rPr>
        <w:t xml:space="preserve"> </w:t>
      </w:r>
      <w:r w:rsidR="00E56E79" w:rsidRPr="007772C4">
        <w:rPr>
          <w:lang w:val="fr-FR"/>
        </w:rPr>
        <w:t>M. Aversano</w:t>
      </w:r>
      <w:r w:rsidR="007C5300" w:rsidRPr="007772C4">
        <w:rPr>
          <w:lang w:val="fr-FR"/>
        </w:rPr>
        <w:t>.</w:t>
      </w:r>
    </w:p>
    <w:p w:rsidR="00E77CB3" w:rsidRPr="007772C4" w:rsidRDefault="00314B2C" w:rsidP="007772C4">
      <w:pPr>
        <w:pStyle w:val="ECHRPara"/>
        <w:rPr>
          <w:szCs w:val="24"/>
          <w:lang w:val="fr-FR" w:eastAsia="en-GB"/>
        </w:rPr>
      </w:pPr>
      <w:r w:rsidRPr="007772C4">
        <w:rPr>
          <w:lang w:val="fr-FR"/>
        </w:rPr>
        <w:fldChar w:fldCharType="begin"/>
      </w:r>
      <w:r w:rsidRPr="007772C4">
        <w:rPr>
          <w:lang w:val="fr-FR"/>
        </w:rPr>
        <w:instrText xml:space="preserve"> SEQ level0 \*arabic </w:instrText>
      </w:r>
      <w:r w:rsidRPr="007772C4">
        <w:rPr>
          <w:lang w:val="fr-FR"/>
        </w:rPr>
        <w:fldChar w:fldCharType="separate"/>
      </w:r>
      <w:r w:rsidR="007772C4" w:rsidRPr="007772C4">
        <w:rPr>
          <w:noProof/>
          <w:lang w:val="fr-FR"/>
        </w:rPr>
        <w:t>3</w:t>
      </w:r>
      <w:r w:rsidRPr="007772C4">
        <w:rPr>
          <w:lang w:val="fr-FR"/>
        </w:rPr>
        <w:fldChar w:fldCharType="end"/>
      </w:r>
      <w:r w:rsidR="00E77CB3" w:rsidRPr="007772C4">
        <w:rPr>
          <w:lang w:val="fr-FR"/>
        </w:rPr>
        <w:t>.  </w:t>
      </w:r>
      <w:r w:rsidRPr="007772C4">
        <w:rPr>
          <w:lang w:val="fr-FR"/>
        </w:rPr>
        <w:t xml:space="preserve">Le </w:t>
      </w:r>
      <w:r w:rsidRPr="007772C4">
        <w:rPr>
          <w:szCs w:val="24"/>
          <w:lang w:val="fr-FR"/>
        </w:rPr>
        <w:t>16 mars 2016</w:t>
      </w:r>
      <w:r w:rsidR="00E77CB3" w:rsidRPr="007772C4">
        <w:rPr>
          <w:lang w:val="fr-FR"/>
        </w:rPr>
        <w:t xml:space="preserve">, </w:t>
      </w:r>
      <w:r w:rsidRPr="007772C4">
        <w:rPr>
          <w:lang w:val="fr-FR"/>
        </w:rPr>
        <w:t>la requête a été communiquée au Gouvernement</w:t>
      </w:r>
      <w:r w:rsidR="00646454" w:rsidRPr="007772C4">
        <w:rPr>
          <w:lang w:val="fr-FR"/>
        </w:rPr>
        <w:t>.</w:t>
      </w:r>
    </w:p>
    <w:p w:rsidR="00E77CB3" w:rsidRPr="007772C4" w:rsidRDefault="00E77CB3" w:rsidP="007772C4">
      <w:pPr>
        <w:pStyle w:val="ECHRTitle1"/>
        <w:tabs>
          <w:tab w:val="left" w:pos="5387"/>
        </w:tabs>
        <w:rPr>
          <w:lang w:val="fr-FR"/>
        </w:rPr>
      </w:pPr>
      <w:r w:rsidRPr="007772C4">
        <w:rPr>
          <w:lang w:val="fr-FR"/>
        </w:rPr>
        <w:t>EN FAIT</w:t>
      </w:r>
    </w:p>
    <w:p w:rsidR="00E77CB3" w:rsidRPr="007772C4" w:rsidRDefault="00E77CB3" w:rsidP="007772C4">
      <w:pPr>
        <w:pStyle w:val="ECHRHeading1"/>
        <w:rPr>
          <w:lang w:val="fr-FR"/>
        </w:rPr>
      </w:pPr>
      <w:r w:rsidRPr="007772C4">
        <w:rPr>
          <w:lang w:val="fr-FR"/>
        </w:rPr>
        <w:t>I.</w:t>
      </w:r>
      <w:proofErr w:type="gramStart"/>
      <w:r w:rsidRPr="007772C4">
        <w:rPr>
          <w:lang w:val="fr-FR"/>
        </w:rPr>
        <w:t>  LES</w:t>
      </w:r>
      <w:proofErr w:type="gramEnd"/>
      <w:r w:rsidRPr="007772C4">
        <w:rPr>
          <w:lang w:val="fr-FR"/>
        </w:rPr>
        <w:t xml:space="preserve"> CIRCONSTANCES DE L</w:t>
      </w:r>
      <w:r w:rsidR="007772C4" w:rsidRPr="007772C4">
        <w:rPr>
          <w:lang w:val="fr-FR"/>
        </w:rPr>
        <w:t>’</w:t>
      </w:r>
      <w:r w:rsidRPr="007772C4">
        <w:rPr>
          <w:lang w:val="fr-FR"/>
        </w:rPr>
        <w:t>ESPÈCE</w:t>
      </w:r>
    </w:p>
    <w:p w:rsidR="00E77CB3" w:rsidRPr="007772C4" w:rsidRDefault="00314B2C" w:rsidP="007772C4">
      <w:pPr>
        <w:pStyle w:val="ECHRPara"/>
        <w:rPr>
          <w:lang w:val="fr-FR"/>
        </w:rPr>
      </w:pPr>
      <w:r w:rsidRPr="007772C4">
        <w:rPr>
          <w:lang w:val="fr-FR"/>
        </w:rPr>
        <w:fldChar w:fldCharType="begin"/>
      </w:r>
      <w:r w:rsidRPr="007772C4">
        <w:rPr>
          <w:lang w:val="fr-FR"/>
        </w:rPr>
        <w:instrText xml:space="preserve"> SEQ level0 \*arabic </w:instrText>
      </w:r>
      <w:r w:rsidRPr="007772C4">
        <w:rPr>
          <w:lang w:val="fr-FR"/>
        </w:rPr>
        <w:fldChar w:fldCharType="separate"/>
      </w:r>
      <w:r w:rsidR="007772C4" w:rsidRPr="007772C4">
        <w:rPr>
          <w:noProof/>
          <w:lang w:val="fr-FR"/>
        </w:rPr>
        <w:t>4</w:t>
      </w:r>
      <w:r w:rsidRPr="007772C4">
        <w:rPr>
          <w:lang w:val="fr-FR"/>
        </w:rPr>
        <w:fldChar w:fldCharType="end"/>
      </w:r>
      <w:r w:rsidR="00E77CB3" w:rsidRPr="007772C4">
        <w:rPr>
          <w:lang w:val="fr-FR"/>
        </w:rPr>
        <w:t>.  </w:t>
      </w:r>
      <w:r w:rsidRPr="007772C4">
        <w:rPr>
          <w:lang w:val="fr-FR"/>
        </w:rPr>
        <w:t>Le requérant est né en 1970 et réside à Barletta</w:t>
      </w:r>
      <w:r w:rsidR="00E77CB3" w:rsidRPr="007772C4">
        <w:rPr>
          <w:lang w:val="fr-FR"/>
        </w:rPr>
        <w:t>.</w:t>
      </w:r>
    </w:p>
    <w:bookmarkStart w:id="2" w:name="pa5"/>
    <w:p w:rsidR="004902F7" w:rsidRPr="007772C4" w:rsidRDefault="00314B2C" w:rsidP="007772C4">
      <w:pPr>
        <w:pStyle w:val="ECHRPara"/>
        <w:rPr>
          <w:lang w:val="fr-FR"/>
        </w:rPr>
      </w:pPr>
      <w:r w:rsidRPr="007772C4">
        <w:rPr>
          <w:lang w:val="fr-FR"/>
        </w:rPr>
        <w:fldChar w:fldCharType="begin"/>
      </w:r>
      <w:r w:rsidRPr="007772C4">
        <w:rPr>
          <w:lang w:val="fr-FR"/>
        </w:rPr>
        <w:instrText xml:space="preserve"> SEQ level0 \*arabic </w:instrText>
      </w:r>
      <w:r w:rsidRPr="007772C4">
        <w:rPr>
          <w:lang w:val="fr-FR"/>
        </w:rPr>
        <w:fldChar w:fldCharType="separate"/>
      </w:r>
      <w:r w:rsidR="007772C4" w:rsidRPr="007772C4">
        <w:rPr>
          <w:noProof/>
          <w:lang w:val="fr-FR"/>
        </w:rPr>
        <w:t>5</w:t>
      </w:r>
      <w:r w:rsidRPr="007772C4">
        <w:rPr>
          <w:lang w:val="fr-FR"/>
        </w:rPr>
        <w:fldChar w:fldCharType="end"/>
      </w:r>
      <w:bookmarkEnd w:id="2"/>
      <w:r w:rsidR="00E77CB3" w:rsidRPr="007772C4">
        <w:rPr>
          <w:lang w:val="fr-FR"/>
        </w:rPr>
        <w:t>.</w:t>
      </w:r>
      <w:r w:rsidR="00BB2447" w:rsidRPr="007772C4">
        <w:rPr>
          <w:lang w:val="fr-FR"/>
        </w:rPr>
        <w:t>  </w:t>
      </w:r>
      <w:r w:rsidR="00D368A0" w:rsidRPr="007772C4">
        <w:rPr>
          <w:lang w:val="fr-FR"/>
        </w:rPr>
        <w:t>Le 3 juin 1996</w:t>
      </w:r>
      <w:r w:rsidR="00A4234F" w:rsidRPr="007772C4">
        <w:rPr>
          <w:lang w:val="fr-FR"/>
        </w:rPr>
        <w:t>,</w:t>
      </w:r>
      <w:r w:rsidR="00D368A0" w:rsidRPr="007772C4">
        <w:rPr>
          <w:lang w:val="fr-FR"/>
        </w:rPr>
        <w:t xml:space="preserve"> C.C., un ressortissant italien, porta plainte contre le requérant</w:t>
      </w:r>
      <w:r w:rsidR="00D84A19" w:rsidRPr="007772C4">
        <w:rPr>
          <w:lang w:val="fr-FR"/>
        </w:rPr>
        <w:t>. Il affirma que</w:t>
      </w:r>
      <w:r w:rsidR="00C60420" w:rsidRPr="007772C4">
        <w:rPr>
          <w:lang w:val="fr-FR"/>
        </w:rPr>
        <w:t>,</w:t>
      </w:r>
      <w:r w:rsidR="00982295" w:rsidRPr="007772C4">
        <w:rPr>
          <w:lang w:val="fr-FR"/>
        </w:rPr>
        <w:t xml:space="preserve"> dans la rue</w:t>
      </w:r>
      <w:r w:rsidR="00C60420" w:rsidRPr="007772C4">
        <w:rPr>
          <w:lang w:val="fr-FR"/>
        </w:rPr>
        <w:t>,</w:t>
      </w:r>
      <w:r w:rsidR="00D84A19" w:rsidRPr="007772C4">
        <w:rPr>
          <w:lang w:val="fr-FR"/>
        </w:rPr>
        <w:t xml:space="preserve"> ce dernier</w:t>
      </w:r>
      <w:r w:rsidR="00A4234F" w:rsidRPr="007772C4">
        <w:rPr>
          <w:lang w:val="fr-FR"/>
        </w:rPr>
        <w:t xml:space="preserve"> </w:t>
      </w:r>
      <w:r w:rsidR="00CA5310" w:rsidRPr="007772C4">
        <w:rPr>
          <w:lang w:val="fr-FR"/>
        </w:rPr>
        <w:t>s</w:t>
      </w:r>
      <w:r w:rsidR="007772C4" w:rsidRPr="007772C4">
        <w:rPr>
          <w:lang w:val="fr-FR"/>
        </w:rPr>
        <w:t>’</w:t>
      </w:r>
      <w:r w:rsidR="00CA5310" w:rsidRPr="007772C4">
        <w:rPr>
          <w:lang w:val="fr-FR"/>
        </w:rPr>
        <w:t>était</w:t>
      </w:r>
      <w:r w:rsidR="00D368A0" w:rsidRPr="007772C4">
        <w:rPr>
          <w:lang w:val="fr-FR"/>
        </w:rPr>
        <w:t xml:space="preserve"> approché </w:t>
      </w:r>
      <w:r w:rsidR="00CA5310" w:rsidRPr="007772C4">
        <w:rPr>
          <w:lang w:val="fr-FR"/>
        </w:rPr>
        <w:t>de</w:t>
      </w:r>
      <w:r w:rsidR="00D368A0" w:rsidRPr="007772C4">
        <w:rPr>
          <w:lang w:val="fr-FR"/>
        </w:rPr>
        <w:t xml:space="preserve"> lui </w:t>
      </w:r>
      <w:r w:rsidR="00CA5310" w:rsidRPr="007772C4">
        <w:rPr>
          <w:lang w:val="fr-FR"/>
        </w:rPr>
        <w:t xml:space="preserve">avec un complice pour lui </w:t>
      </w:r>
      <w:r w:rsidR="00D368A0" w:rsidRPr="007772C4">
        <w:rPr>
          <w:lang w:val="fr-FR"/>
        </w:rPr>
        <w:t>demand</w:t>
      </w:r>
      <w:r w:rsidR="00CA5310" w:rsidRPr="007772C4">
        <w:rPr>
          <w:lang w:val="fr-FR"/>
        </w:rPr>
        <w:t>er</w:t>
      </w:r>
      <w:r w:rsidR="00D368A0" w:rsidRPr="007772C4">
        <w:rPr>
          <w:lang w:val="fr-FR"/>
        </w:rPr>
        <w:t xml:space="preserve"> de l</w:t>
      </w:r>
      <w:r w:rsidR="007772C4" w:rsidRPr="007772C4">
        <w:rPr>
          <w:lang w:val="fr-FR"/>
        </w:rPr>
        <w:t>’</w:t>
      </w:r>
      <w:r w:rsidR="00D368A0" w:rsidRPr="007772C4">
        <w:rPr>
          <w:lang w:val="fr-FR"/>
        </w:rPr>
        <w:t xml:space="preserve">argent. </w:t>
      </w:r>
      <w:r w:rsidR="001B7D1E" w:rsidRPr="007772C4">
        <w:rPr>
          <w:lang w:val="fr-FR"/>
        </w:rPr>
        <w:t>Il précisa qu</w:t>
      </w:r>
      <w:r w:rsidR="007772C4" w:rsidRPr="007772C4">
        <w:rPr>
          <w:lang w:val="fr-FR"/>
        </w:rPr>
        <w:t>’</w:t>
      </w:r>
      <w:r w:rsidR="001B7D1E" w:rsidRPr="007772C4">
        <w:rPr>
          <w:lang w:val="fr-FR"/>
        </w:rPr>
        <w:t xml:space="preserve">il connaissait </w:t>
      </w:r>
      <w:r w:rsidR="00CA5310" w:rsidRPr="007772C4">
        <w:rPr>
          <w:lang w:val="fr-FR"/>
        </w:rPr>
        <w:t>le complice</w:t>
      </w:r>
      <w:r w:rsidR="001B7D1E" w:rsidRPr="007772C4">
        <w:rPr>
          <w:lang w:val="fr-FR"/>
        </w:rPr>
        <w:t xml:space="preserve">. </w:t>
      </w:r>
      <w:r w:rsidR="00CA5310" w:rsidRPr="007772C4">
        <w:rPr>
          <w:lang w:val="fr-FR"/>
        </w:rPr>
        <w:t>Il déclara qu</w:t>
      </w:r>
      <w:r w:rsidR="007772C4" w:rsidRPr="007772C4">
        <w:rPr>
          <w:lang w:val="fr-FR"/>
        </w:rPr>
        <w:t>’</w:t>
      </w:r>
      <w:r w:rsidR="00CA5310" w:rsidRPr="007772C4">
        <w:rPr>
          <w:lang w:val="fr-FR"/>
        </w:rPr>
        <w:t xml:space="preserve">il </w:t>
      </w:r>
      <w:r w:rsidR="00D368A0" w:rsidRPr="007772C4">
        <w:rPr>
          <w:lang w:val="fr-FR"/>
        </w:rPr>
        <w:t>avait accepté</w:t>
      </w:r>
      <w:r w:rsidR="00CA5310" w:rsidRPr="007772C4">
        <w:rPr>
          <w:lang w:val="fr-FR"/>
        </w:rPr>
        <w:t>, qu</w:t>
      </w:r>
      <w:r w:rsidR="007772C4" w:rsidRPr="007772C4">
        <w:rPr>
          <w:lang w:val="fr-FR"/>
        </w:rPr>
        <w:t>’</w:t>
      </w:r>
      <w:r w:rsidR="00CA5310" w:rsidRPr="007772C4">
        <w:rPr>
          <w:lang w:val="fr-FR"/>
        </w:rPr>
        <w:t xml:space="preserve">il </w:t>
      </w:r>
      <w:r w:rsidR="00D84A19" w:rsidRPr="007772C4">
        <w:rPr>
          <w:lang w:val="fr-FR"/>
        </w:rPr>
        <w:t xml:space="preserve">avait </w:t>
      </w:r>
      <w:r w:rsidR="005B24AE" w:rsidRPr="007772C4">
        <w:rPr>
          <w:lang w:val="fr-FR"/>
        </w:rPr>
        <w:t xml:space="preserve">sorti </w:t>
      </w:r>
      <w:r w:rsidR="00D84A19" w:rsidRPr="007772C4">
        <w:rPr>
          <w:lang w:val="fr-FR"/>
        </w:rPr>
        <w:t>son portefeuille</w:t>
      </w:r>
      <w:r w:rsidR="00CA5310" w:rsidRPr="007772C4">
        <w:rPr>
          <w:lang w:val="fr-FR"/>
        </w:rPr>
        <w:t xml:space="preserve"> mais que le complice </w:t>
      </w:r>
      <w:r w:rsidR="00122B43" w:rsidRPr="007772C4">
        <w:rPr>
          <w:lang w:val="fr-FR"/>
        </w:rPr>
        <w:t xml:space="preserve">le </w:t>
      </w:r>
      <w:r w:rsidR="00CA5310" w:rsidRPr="007772C4">
        <w:rPr>
          <w:lang w:val="fr-FR"/>
        </w:rPr>
        <w:t xml:space="preserve">lui </w:t>
      </w:r>
      <w:r w:rsidR="00880ECD" w:rsidRPr="007772C4">
        <w:rPr>
          <w:lang w:val="fr-FR"/>
        </w:rPr>
        <w:t xml:space="preserve">avait </w:t>
      </w:r>
      <w:r w:rsidR="00D368A0" w:rsidRPr="007772C4">
        <w:rPr>
          <w:lang w:val="fr-FR"/>
        </w:rPr>
        <w:t xml:space="preserve">arraché </w:t>
      </w:r>
      <w:r w:rsidR="005B24AE" w:rsidRPr="007772C4">
        <w:rPr>
          <w:lang w:val="fr-FR"/>
        </w:rPr>
        <w:t xml:space="preserve">des mains </w:t>
      </w:r>
      <w:r w:rsidR="00122B43" w:rsidRPr="007772C4">
        <w:rPr>
          <w:lang w:val="fr-FR"/>
        </w:rPr>
        <w:t>av</w:t>
      </w:r>
      <w:r w:rsidR="00916BE7" w:rsidRPr="007772C4">
        <w:rPr>
          <w:lang w:val="fr-FR"/>
        </w:rPr>
        <w:t>a</w:t>
      </w:r>
      <w:r w:rsidR="00122B43" w:rsidRPr="007772C4">
        <w:rPr>
          <w:lang w:val="fr-FR"/>
        </w:rPr>
        <w:t>nt de s</w:t>
      </w:r>
      <w:r w:rsidR="007772C4" w:rsidRPr="007772C4">
        <w:rPr>
          <w:lang w:val="fr-FR"/>
        </w:rPr>
        <w:t>’</w:t>
      </w:r>
      <w:r w:rsidR="00CA5310" w:rsidRPr="007772C4">
        <w:rPr>
          <w:lang w:val="fr-FR"/>
        </w:rPr>
        <w:t>enfui</w:t>
      </w:r>
      <w:r w:rsidR="00122B43" w:rsidRPr="007772C4">
        <w:rPr>
          <w:lang w:val="fr-FR"/>
        </w:rPr>
        <w:t>r</w:t>
      </w:r>
      <w:r w:rsidR="00CA5310" w:rsidRPr="007772C4">
        <w:rPr>
          <w:lang w:val="fr-FR"/>
        </w:rPr>
        <w:t xml:space="preserve"> avec le requérant</w:t>
      </w:r>
      <w:r w:rsidR="00D368A0" w:rsidRPr="007772C4">
        <w:rPr>
          <w:lang w:val="fr-FR"/>
        </w:rPr>
        <w:t xml:space="preserve">. </w:t>
      </w:r>
      <w:r w:rsidR="004902F7" w:rsidRPr="007772C4">
        <w:rPr>
          <w:lang w:val="fr-FR"/>
        </w:rPr>
        <w:t xml:space="preserve">Il </w:t>
      </w:r>
      <w:r w:rsidR="004F4833" w:rsidRPr="007772C4">
        <w:rPr>
          <w:lang w:val="fr-FR"/>
        </w:rPr>
        <w:t>ajouta</w:t>
      </w:r>
      <w:r w:rsidR="004902F7" w:rsidRPr="007772C4">
        <w:rPr>
          <w:lang w:val="fr-FR"/>
        </w:rPr>
        <w:t xml:space="preserve"> qu</w:t>
      </w:r>
      <w:r w:rsidR="007772C4" w:rsidRPr="007772C4">
        <w:rPr>
          <w:lang w:val="fr-FR"/>
        </w:rPr>
        <w:t>’</w:t>
      </w:r>
      <w:r w:rsidR="004902F7" w:rsidRPr="007772C4">
        <w:rPr>
          <w:lang w:val="fr-FR"/>
        </w:rPr>
        <w:t xml:space="preserve">il </w:t>
      </w:r>
      <w:r w:rsidR="00D368A0" w:rsidRPr="007772C4">
        <w:rPr>
          <w:lang w:val="fr-FR"/>
        </w:rPr>
        <w:t xml:space="preserve">les avait </w:t>
      </w:r>
      <w:r w:rsidR="005B24AE" w:rsidRPr="007772C4">
        <w:rPr>
          <w:lang w:val="fr-FR"/>
        </w:rPr>
        <w:t>pour</w:t>
      </w:r>
      <w:r w:rsidR="00D368A0" w:rsidRPr="007772C4">
        <w:rPr>
          <w:lang w:val="fr-FR"/>
        </w:rPr>
        <w:t>suivi</w:t>
      </w:r>
      <w:r w:rsidR="00C36339" w:rsidRPr="007772C4">
        <w:rPr>
          <w:lang w:val="fr-FR"/>
        </w:rPr>
        <w:t xml:space="preserve">s </w:t>
      </w:r>
      <w:r w:rsidR="00D368A0" w:rsidRPr="007772C4">
        <w:rPr>
          <w:lang w:val="fr-FR"/>
        </w:rPr>
        <w:t xml:space="preserve">et </w:t>
      </w:r>
      <w:r w:rsidR="004902F7" w:rsidRPr="007772C4">
        <w:rPr>
          <w:lang w:val="fr-FR"/>
        </w:rPr>
        <w:t xml:space="preserve">que </w:t>
      </w:r>
      <w:r w:rsidR="004D317B" w:rsidRPr="007772C4">
        <w:rPr>
          <w:lang w:val="fr-FR"/>
        </w:rPr>
        <w:t>le requérant</w:t>
      </w:r>
      <w:r w:rsidR="00880ECD" w:rsidRPr="007772C4">
        <w:rPr>
          <w:lang w:val="fr-FR"/>
        </w:rPr>
        <w:t xml:space="preserve"> </w:t>
      </w:r>
      <w:r w:rsidR="00682DE0" w:rsidRPr="007772C4">
        <w:rPr>
          <w:lang w:val="fr-FR"/>
        </w:rPr>
        <w:t>lui avait donné</w:t>
      </w:r>
      <w:r w:rsidR="00880ECD" w:rsidRPr="007772C4">
        <w:rPr>
          <w:lang w:val="fr-FR"/>
        </w:rPr>
        <w:t xml:space="preserve"> </w:t>
      </w:r>
      <w:r w:rsidR="00682DE0" w:rsidRPr="007772C4">
        <w:rPr>
          <w:lang w:val="fr-FR"/>
        </w:rPr>
        <w:t xml:space="preserve">un coup de poing </w:t>
      </w:r>
      <w:r w:rsidR="00880ECD" w:rsidRPr="007772C4">
        <w:rPr>
          <w:lang w:val="fr-FR"/>
        </w:rPr>
        <w:t>au visage.</w:t>
      </w:r>
    </w:p>
    <w:p w:rsidR="00D368A0" w:rsidRPr="007772C4" w:rsidRDefault="00D368A0" w:rsidP="007772C4">
      <w:pPr>
        <w:pStyle w:val="ECHRPara"/>
        <w:rPr>
          <w:lang w:val="fr-FR"/>
        </w:rPr>
      </w:pPr>
      <w:r w:rsidRPr="007772C4">
        <w:rPr>
          <w:lang w:val="fr-FR"/>
        </w:rPr>
        <w:fldChar w:fldCharType="begin"/>
      </w:r>
      <w:r w:rsidRPr="007772C4">
        <w:rPr>
          <w:lang w:val="fr-FR"/>
        </w:rPr>
        <w:instrText xml:space="preserve"> SEQ level0 \*arabic </w:instrText>
      </w:r>
      <w:r w:rsidRPr="007772C4">
        <w:rPr>
          <w:lang w:val="fr-FR"/>
        </w:rPr>
        <w:fldChar w:fldCharType="separate"/>
      </w:r>
      <w:r w:rsidR="007772C4" w:rsidRPr="007772C4">
        <w:rPr>
          <w:noProof/>
          <w:lang w:val="fr-FR"/>
        </w:rPr>
        <w:t>6</w:t>
      </w:r>
      <w:r w:rsidRPr="007772C4">
        <w:rPr>
          <w:lang w:val="fr-FR"/>
        </w:rPr>
        <w:fldChar w:fldCharType="end"/>
      </w:r>
      <w:r w:rsidRPr="007772C4">
        <w:rPr>
          <w:lang w:val="fr-FR"/>
        </w:rPr>
        <w:t>.  </w:t>
      </w:r>
      <w:r w:rsidR="00D84A19" w:rsidRPr="007772C4">
        <w:rPr>
          <w:lang w:val="fr-FR"/>
        </w:rPr>
        <w:t>Le même jour, l</w:t>
      </w:r>
      <w:r w:rsidRPr="007772C4">
        <w:rPr>
          <w:lang w:val="fr-FR"/>
        </w:rPr>
        <w:t xml:space="preserve">ors du dépôt de </w:t>
      </w:r>
      <w:r w:rsidR="0025168A" w:rsidRPr="007772C4">
        <w:rPr>
          <w:lang w:val="fr-FR"/>
        </w:rPr>
        <w:t>s</w:t>
      </w:r>
      <w:r w:rsidRPr="007772C4">
        <w:rPr>
          <w:lang w:val="fr-FR"/>
        </w:rPr>
        <w:t>a plainte,</w:t>
      </w:r>
      <w:r w:rsidR="00BE5DA3" w:rsidRPr="007772C4">
        <w:rPr>
          <w:lang w:val="fr-FR"/>
        </w:rPr>
        <w:t xml:space="preserve"> qui fut recueillie par le carabinier L.R.,</w:t>
      </w:r>
      <w:r w:rsidRPr="007772C4">
        <w:rPr>
          <w:lang w:val="fr-FR"/>
        </w:rPr>
        <w:t xml:space="preserve"> </w:t>
      </w:r>
      <w:r w:rsidR="00D84A19" w:rsidRPr="007772C4">
        <w:rPr>
          <w:lang w:val="fr-FR"/>
        </w:rPr>
        <w:t xml:space="preserve">C.C. </w:t>
      </w:r>
      <w:r w:rsidRPr="007772C4">
        <w:rPr>
          <w:lang w:val="fr-FR"/>
        </w:rPr>
        <w:t xml:space="preserve">indiqua </w:t>
      </w:r>
      <w:r w:rsidR="00880ECD" w:rsidRPr="007772C4">
        <w:rPr>
          <w:lang w:val="fr-FR"/>
        </w:rPr>
        <w:t xml:space="preserve">que </w:t>
      </w:r>
      <w:r w:rsidR="00C2731A" w:rsidRPr="007772C4">
        <w:rPr>
          <w:lang w:val="fr-FR"/>
        </w:rPr>
        <w:t>l</w:t>
      </w:r>
      <w:r w:rsidR="007772C4" w:rsidRPr="007772C4">
        <w:rPr>
          <w:lang w:val="fr-FR"/>
        </w:rPr>
        <w:t>’</w:t>
      </w:r>
      <w:r w:rsidR="00880ECD" w:rsidRPr="007772C4">
        <w:rPr>
          <w:lang w:val="fr-FR"/>
        </w:rPr>
        <w:t>un de</w:t>
      </w:r>
      <w:r w:rsidR="0025168A" w:rsidRPr="007772C4">
        <w:rPr>
          <w:lang w:val="fr-FR"/>
        </w:rPr>
        <w:t>s</w:t>
      </w:r>
      <w:r w:rsidR="00880ECD" w:rsidRPr="007772C4">
        <w:rPr>
          <w:lang w:val="fr-FR"/>
        </w:rPr>
        <w:t xml:space="preserve"> deux agresseur</w:t>
      </w:r>
      <w:r w:rsidR="00C36339" w:rsidRPr="007772C4">
        <w:rPr>
          <w:lang w:val="fr-FR"/>
        </w:rPr>
        <w:t xml:space="preserve">s </w:t>
      </w:r>
      <w:r w:rsidR="004F4833" w:rsidRPr="007772C4">
        <w:rPr>
          <w:lang w:val="fr-FR"/>
        </w:rPr>
        <w:t>se nommait</w:t>
      </w:r>
      <w:r w:rsidR="00880ECD" w:rsidRPr="007772C4">
        <w:rPr>
          <w:lang w:val="fr-FR"/>
        </w:rPr>
        <w:t xml:space="preserve"> </w:t>
      </w:r>
      <w:r w:rsidRPr="007772C4">
        <w:rPr>
          <w:lang w:val="fr-FR"/>
        </w:rPr>
        <w:t xml:space="preserve">L.D. </w:t>
      </w:r>
      <w:r w:rsidRPr="007772C4">
        <w:rPr>
          <w:lang w:val="fr-FR"/>
        </w:rPr>
        <w:lastRenderedPageBreak/>
        <w:t xml:space="preserve">et </w:t>
      </w:r>
      <w:r w:rsidR="00F561B3" w:rsidRPr="007772C4">
        <w:rPr>
          <w:lang w:val="fr-FR"/>
        </w:rPr>
        <w:t xml:space="preserve">il </w:t>
      </w:r>
      <w:r w:rsidRPr="007772C4">
        <w:rPr>
          <w:lang w:val="fr-FR"/>
        </w:rPr>
        <w:t>le r</w:t>
      </w:r>
      <w:r w:rsidR="004523D7" w:rsidRPr="007772C4">
        <w:rPr>
          <w:lang w:val="fr-FR"/>
        </w:rPr>
        <w:t xml:space="preserve">econnut </w:t>
      </w:r>
      <w:r w:rsidR="00AF795D" w:rsidRPr="007772C4">
        <w:rPr>
          <w:lang w:val="fr-FR"/>
        </w:rPr>
        <w:t>à partir d</w:t>
      </w:r>
      <w:r w:rsidR="007772C4" w:rsidRPr="007772C4">
        <w:rPr>
          <w:lang w:val="fr-FR"/>
        </w:rPr>
        <w:t>’</w:t>
      </w:r>
      <w:r w:rsidR="00AF795D" w:rsidRPr="007772C4">
        <w:rPr>
          <w:lang w:val="fr-FR"/>
        </w:rPr>
        <w:t xml:space="preserve">une </w:t>
      </w:r>
      <w:r w:rsidR="004523D7" w:rsidRPr="007772C4">
        <w:rPr>
          <w:lang w:val="fr-FR"/>
        </w:rPr>
        <w:t xml:space="preserve">photo. </w:t>
      </w:r>
      <w:r w:rsidR="0025168A" w:rsidRPr="007772C4">
        <w:rPr>
          <w:lang w:val="fr-FR"/>
        </w:rPr>
        <w:t>Quant au</w:t>
      </w:r>
      <w:r w:rsidR="00F561B3" w:rsidRPr="007772C4">
        <w:rPr>
          <w:lang w:val="fr-FR"/>
        </w:rPr>
        <w:t xml:space="preserve"> requérant</w:t>
      </w:r>
      <w:r w:rsidR="004F4833" w:rsidRPr="007772C4">
        <w:rPr>
          <w:lang w:val="fr-FR"/>
        </w:rPr>
        <w:t>,</w:t>
      </w:r>
      <w:r w:rsidR="004523D7" w:rsidRPr="007772C4">
        <w:rPr>
          <w:lang w:val="fr-FR"/>
        </w:rPr>
        <w:t xml:space="preserve"> </w:t>
      </w:r>
      <w:r w:rsidRPr="007772C4">
        <w:rPr>
          <w:lang w:val="fr-FR"/>
        </w:rPr>
        <w:t xml:space="preserve">il expliqua </w:t>
      </w:r>
      <w:r w:rsidR="00F615B6" w:rsidRPr="007772C4">
        <w:rPr>
          <w:lang w:val="fr-FR"/>
        </w:rPr>
        <w:t xml:space="preserve">aux </w:t>
      </w:r>
      <w:r w:rsidR="00D20B65" w:rsidRPr="007772C4">
        <w:rPr>
          <w:lang w:val="fr-FR"/>
        </w:rPr>
        <w:t>carabiniers</w:t>
      </w:r>
      <w:r w:rsidRPr="007772C4">
        <w:rPr>
          <w:lang w:val="fr-FR"/>
        </w:rPr>
        <w:t xml:space="preserve"> qu</w:t>
      </w:r>
      <w:r w:rsidR="007772C4" w:rsidRPr="007772C4">
        <w:rPr>
          <w:lang w:val="fr-FR"/>
        </w:rPr>
        <w:t>’</w:t>
      </w:r>
      <w:r w:rsidRPr="007772C4">
        <w:rPr>
          <w:lang w:val="fr-FR"/>
        </w:rPr>
        <w:t xml:space="preserve">il </w:t>
      </w:r>
      <w:r w:rsidR="00F561B3" w:rsidRPr="007772C4">
        <w:rPr>
          <w:lang w:val="fr-FR"/>
        </w:rPr>
        <w:t xml:space="preserve">le </w:t>
      </w:r>
      <w:r w:rsidR="00880ECD" w:rsidRPr="007772C4">
        <w:rPr>
          <w:lang w:val="fr-FR"/>
        </w:rPr>
        <w:t>connaissait de vue</w:t>
      </w:r>
      <w:r w:rsidRPr="007772C4">
        <w:rPr>
          <w:lang w:val="fr-FR"/>
        </w:rPr>
        <w:t xml:space="preserve">. </w:t>
      </w:r>
      <w:r w:rsidR="00880ECD" w:rsidRPr="007772C4">
        <w:rPr>
          <w:lang w:val="fr-FR"/>
        </w:rPr>
        <w:t xml:space="preserve">Par la suite, </w:t>
      </w:r>
      <w:r w:rsidR="007900F9" w:rsidRPr="007772C4">
        <w:rPr>
          <w:lang w:val="fr-FR"/>
        </w:rPr>
        <w:t>le carabinier L.R</w:t>
      </w:r>
      <w:r w:rsidRPr="007772C4">
        <w:rPr>
          <w:lang w:val="fr-FR"/>
        </w:rPr>
        <w:t xml:space="preserve"> présenta </w:t>
      </w:r>
      <w:r w:rsidR="00F561B3" w:rsidRPr="007772C4">
        <w:rPr>
          <w:lang w:val="fr-FR"/>
        </w:rPr>
        <w:t xml:space="preserve">à C.C. </w:t>
      </w:r>
      <w:r w:rsidRPr="007772C4">
        <w:rPr>
          <w:lang w:val="fr-FR"/>
        </w:rPr>
        <w:t>plusieurs photos aux fins d</w:t>
      </w:r>
      <w:r w:rsidR="007772C4" w:rsidRPr="007772C4">
        <w:rPr>
          <w:lang w:val="fr-FR"/>
        </w:rPr>
        <w:t>’</w:t>
      </w:r>
      <w:r w:rsidRPr="007772C4">
        <w:rPr>
          <w:lang w:val="fr-FR"/>
        </w:rPr>
        <w:t xml:space="preserve">identification et </w:t>
      </w:r>
      <w:r w:rsidR="003B3629" w:rsidRPr="007772C4">
        <w:rPr>
          <w:lang w:val="fr-FR"/>
        </w:rPr>
        <w:t>c</w:t>
      </w:r>
      <w:r w:rsidR="00F561B3" w:rsidRPr="007772C4">
        <w:rPr>
          <w:lang w:val="fr-FR"/>
        </w:rPr>
        <w:t>e dernier</w:t>
      </w:r>
      <w:r w:rsidRPr="007772C4">
        <w:rPr>
          <w:lang w:val="fr-FR"/>
        </w:rPr>
        <w:t xml:space="preserve"> identifia </w:t>
      </w:r>
      <w:r w:rsidR="004523D7" w:rsidRPr="007772C4">
        <w:rPr>
          <w:lang w:val="fr-FR"/>
        </w:rPr>
        <w:t xml:space="preserve">formellement </w:t>
      </w:r>
      <w:r w:rsidR="00F561B3" w:rsidRPr="007772C4">
        <w:rPr>
          <w:lang w:val="fr-FR"/>
        </w:rPr>
        <w:t xml:space="preserve">le requérant </w:t>
      </w:r>
      <w:r w:rsidR="004523D7" w:rsidRPr="007772C4">
        <w:rPr>
          <w:lang w:val="fr-FR"/>
        </w:rPr>
        <w:t xml:space="preserve">comme </w:t>
      </w:r>
      <w:r w:rsidR="00F561B3" w:rsidRPr="007772C4">
        <w:rPr>
          <w:lang w:val="fr-FR"/>
        </w:rPr>
        <w:t xml:space="preserve">étant </w:t>
      </w:r>
      <w:r w:rsidR="004523D7" w:rsidRPr="007772C4">
        <w:rPr>
          <w:lang w:val="fr-FR"/>
        </w:rPr>
        <w:t xml:space="preserve">son deuxième </w:t>
      </w:r>
      <w:r w:rsidR="00F615B6" w:rsidRPr="007772C4">
        <w:rPr>
          <w:lang w:val="fr-FR"/>
        </w:rPr>
        <w:t>agresseur</w:t>
      </w:r>
      <w:r w:rsidR="004523D7" w:rsidRPr="007772C4">
        <w:rPr>
          <w:lang w:val="fr-FR"/>
        </w:rPr>
        <w:t>.</w:t>
      </w:r>
    </w:p>
    <w:p w:rsidR="004D317B" w:rsidRPr="007772C4" w:rsidRDefault="00F710EE" w:rsidP="007772C4">
      <w:pPr>
        <w:pStyle w:val="ECHRPara"/>
        <w:rPr>
          <w:lang w:val="fr-FR"/>
        </w:rPr>
      </w:pPr>
      <w:r w:rsidRPr="007772C4">
        <w:rPr>
          <w:lang w:val="fr-FR"/>
        </w:rPr>
        <w:fldChar w:fldCharType="begin"/>
      </w:r>
      <w:r w:rsidRPr="007772C4">
        <w:rPr>
          <w:lang w:val="fr-FR"/>
        </w:rPr>
        <w:instrText xml:space="preserve"> SEQ level0 \*arabic </w:instrText>
      </w:r>
      <w:r w:rsidRPr="007772C4">
        <w:rPr>
          <w:lang w:val="fr-FR"/>
        </w:rPr>
        <w:fldChar w:fldCharType="separate"/>
      </w:r>
      <w:r w:rsidR="007772C4" w:rsidRPr="007772C4">
        <w:rPr>
          <w:noProof/>
          <w:lang w:val="fr-FR"/>
        </w:rPr>
        <w:t>7</w:t>
      </w:r>
      <w:r w:rsidRPr="007772C4">
        <w:rPr>
          <w:lang w:val="fr-FR"/>
        </w:rPr>
        <w:fldChar w:fldCharType="end"/>
      </w:r>
      <w:r w:rsidRPr="007772C4">
        <w:rPr>
          <w:lang w:val="fr-FR"/>
        </w:rPr>
        <w:t>.  </w:t>
      </w:r>
      <w:r w:rsidR="004D317B" w:rsidRPr="007772C4">
        <w:rPr>
          <w:lang w:val="fr-FR"/>
        </w:rPr>
        <w:t xml:space="preserve">Le 13 septembre 1996, le parquet demanda </w:t>
      </w:r>
      <w:r w:rsidR="00E9051D" w:rsidRPr="007772C4">
        <w:rPr>
          <w:lang w:val="fr-FR"/>
        </w:rPr>
        <w:t>qu</w:t>
      </w:r>
      <w:r w:rsidR="007772C4" w:rsidRPr="007772C4">
        <w:rPr>
          <w:lang w:val="fr-FR"/>
        </w:rPr>
        <w:t>’</w:t>
      </w:r>
      <w:r w:rsidR="00E9051D" w:rsidRPr="007772C4">
        <w:rPr>
          <w:lang w:val="fr-FR"/>
        </w:rPr>
        <w:t xml:space="preserve">il </w:t>
      </w:r>
      <w:r w:rsidR="005B24AE" w:rsidRPr="007772C4">
        <w:rPr>
          <w:lang w:val="fr-FR"/>
        </w:rPr>
        <w:t>fû</w:t>
      </w:r>
      <w:r w:rsidR="00E9051D" w:rsidRPr="007772C4">
        <w:rPr>
          <w:lang w:val="fr-FR"/>
        </w:rPr>
        <w:t xml:space="preserve">t </w:t>
      </w:r>
      <w:r w:rsidR="004D317B" w:rsidRPr="007772C4">
        <w:rPr>
          <w:lang w:val="fr-FR"/>
        </w:rPr>
        <w:t>procéd</w:t>
      </w:r>
      <w:r w:rsidR="004F4833" w:rsidRPr="007772C4">
        <w:rPr>
          <w:lang w:val="fr-FR"/>
        </w:rPr>
        <w:t>é</w:t>
      </w:r>
      <w:r w:rsidR="004D317B" w:rsidRPr="007772C4">
        <w:rPr>
          <w:lang w:val="fr-FR"/>
        </w:rPr>
        <w:t xml:space="preserve"> </w:t>
      </w:r>
      <w:r w:rsidR="00997935" w:rsidRPr="007772C4">
        <w:rPr>
          <w:lang w:val="fr-FR"/>
        </w:rPr>
        <w:t xml:space="preserve">à </w:t>
      </w:r>
      <w:r w:rsidR="00E9051D" w:rsidRPr="007772C4">
        <w:rPr>
          <w:lang w:val="fr-FR"/>
        </w:rPr>
        <w:t>un</w:t>
      </w:r>
      <w:r w:rsidR="00D04830" w:rsidRPr="007772C4">
        <w:rPr>
          <w:lang w:val="fr-FR"/>
        </w:rPr>
        <w:t>e</w:t>
      </w:r>
      <w:r w:rsidR="00E9051D" w:rsidRPr="007772C4">
        <w:rPr>
          <w:lang w:val="fr-FR"/>
        </w:rPr>
        <w:t xml:space="preserve"> audition </w:t>
      </w:r>
      <w:r w:rsidR="00997935" w:rsidRPr="007772C4">
        <w:rPr>
          <w:lang w:val="fr-FR"/>
        </w:rPr>
        <w:t>de C.</w:t>
      </w:r>
      <w:r w:rsidR="004D317B" w:rsidRPr="007772C4">
        <w:rPr>
          <w:lang w:val="fr-FR"/>
        </w:rPr>
        <w:t>C.</w:t>
      </w:r>
      <w:r w:rsidR="0014523A" w:rsidRPr="007772C4">
        <w:rPr>
          <w:lang w:val="fr-FR"/>
        </w:rPr>
        <w:t xml:space="preserve"> et à </w:t>
      </w:r>
      <w:r w:rsidR="00E9051D" w:rsidRPr="007772C4">
        <w:rPr>
          <w:lang w:val="fr-FR"/>
        </w:rPr>
        <w:t>une parade d</w:t>
      </w:r>
      <w:r w:rsidR="007772C4" w:rsidRPr="007772C4">
        <w:rPr>
          <w:lang w:val="fr-FR"/>
        </w:rPr>
        <w:t>’</w:t>
      </w:r>
      <w:r w:rsidR="00E9051D" w:rsidRPr="007772C4">
        <w:rPr>
          <w:lang w:val="fr-FR"/>
        </w:rPr>
        <w:t>identification</w:t>
      </w:r>
      <w:r w:rsidR="0014523A" w:rsidRPr="007772C4">
        <w:rPr>
          <w:lang w:val="fr-FR"/>
        </w:rPr>
        <w:t xml:space="preserve"> (</w:t>
      </w:r>
      <w:proofErr w:type="spellStart"/>
      <w:r w:rsidR="0014523A" w:rsidRPr="007772C4">
        <w:rPr>
          <w:i/>
          <w:lang w:val="fr-FR"/>
        </w:rPr>
        <w:t>ricognizione</w:t>
      </w:r>
      <w:proofErr w:type="spellEnd"/>
      <w:r w:rsidR="0014523A" w:rsidRPr="007772C4">
        <w:rPr>
          <w:i/>
          <w:lang w:val="fr-FR"/>
        </w:rPr>
        <w:t xml:space="preserve"> personale</w:t>
      </w:r>
      <w:r w:rsidR="0014523A" w:rsidRPr="007772C4">
        <w:rPr>
          <w:lang w:val="fr-FR"/>
        </w:rPr>
        <w:t>)</w:t>
      </w:r>
      <w:r w:rsidR="004D317B" w:rsidRPr="007772C4">
        <w:rPr>
          <w:lang w:val="fr-FR"/>
        </w:rPr>
        <w:t xml:space="preserve"> dans le cadre d</w:t>
      </w:r>
      <w:r w:rsidR="007772C4" w:rsidRPr="007772C4">
        <w:rPr>
          <w:lang w:val="fr-FR"/>
        </w:rPr>
        <w:t>’</w:t>
      </w:r>
      <w:r w:rsidR="004D317B" w:rsidRPr="007772C4">
        <w:rPr>
          <w:lang w:val="fr-FR"/>
        </w:rPr>
        <w:t xml:space="preserve">une audience </w:t>
      </w:r>
      <w:r w:rsidR="004D317B" w:rsidRPr="007772C4">
        <w:rPr>
          <w:i/>
          <w:lang w:val="fr-FR"/>
        </w:rPr>
        <w:t>ad hoc</w:t>
      </w:r>
      <w:r w:rsidR="004D317B" w:rsidRPr="007772C4">
        <w:rPr>
          <w:lang w:val="fr-FR"/>
        </w:rPr>
        <w:t xml:space="preserve"> (</w:t>
      </w:r>
      <w:r w:rsidR="004D317B" w:rsidRPr="007772C4">
        <w:rPr>
          <w:i/>
          <w:lang w:val="fr-FR"/>
        </w:rPr>
        <w:t xml:space="preserve">incidente </w:t>
      </w:r>
      <w:proofErr w:type="spellStart"/>
      <w:r w:rsidR="004D317B" w:rsidRPr="007772C4">
        <w:rPr>
          <w:i/>
          <w:lang w:val="fr-FR"/>
        </w:rPr>
        <w:t>probatorio</w:t>
      </w:r>
      <w:proofErr w:type="spellEnd"/>
      <w:r w:rsidR="004D317B" w:rsidRPr="007772C4">
        <w:rPr>
          <w:lang w:val="fr-FR"/>
        </w:rPr>
        <w:t xml:space="preserve">) devant le juge des investigations préliminaires </w:t>
      </w:r>
      <w:r w:rsidR="000F6B11" w:rsidRPr="007772C4">
        <w:rPr>
          <w:lang w:val="fr-FR"/>
        </w:rPr>
        <w:t xml:space="preserve">de Trani </w:t>
      </w:r>
      <w:r w:rsidR="00E9051D" w:rsidRPr="007772C4">
        <w:rPr>
          <w:lang w:val="fr-FR"/>
        </w:rPr>
        <w:t xml:space="preserve">(« le GIP ») </w:t>
      </w:r>
      <w:r w:rsidR="00D04830" w:rsidRPr="007772C4">
        <w:rPr>
          <w:lang w:val="fr-FR"/>
        </w:rPr>
        <w:t>au motif</w:t>
      </w:r>
      <w:r w:rsidR="00880ECD" w:rsidRPr="007772C4">
        <w:rPr>
          <w:lang w:val="fr-FR"/>
        </w:rPr>
        <w:t xml:space="preserve"> </w:t>
      </w:r>
      <w:r w:rsidR="00D000FA" w:rsidRPr="007772C4">
        <w:rPr>
          <w:lang w:val="fr-FR"/>
        </w:rPr>
        <w:t>que, en raison du passage du temps, le</w:t>
      </w:r>
      <w:r w:rsidR="00880ECD" w:rsidRPr="007772C4">
        <w:rPr>
          <w:lang w:val="fr-FR"/>
        </w:rPr>
        <w:t xml:space="preserve"> témoignage</w:t>
      </w:r>
      <w:r w:rsidR="00D000FA" w:rsidRPr="007772C4">
        <w:rPr>
          <w:lang w:val="fr-FR"/>
        </w:rPr>
        <w:t xml:space="preserve"> </w:t>
      </w:r>
      <w:r w:rsidR="00AF795D" w:rsidRPr="007772C4">
        <w:rPr>
          <w:lang w:val="fr-FR"/>
        </w:rPr>
        <w:t>du plaignant</w:t>
      </w:r>
      <w:r w:rsidR="00880ECD" w:rsidRPr="007772C4">
        <w:rPr>
          <w:lang w:val="fr-FR"/>
        </w:rPr>
        <w:t xml:space="preserve"> </w:t>
      </w:r>
      <w:r w:rsidR="00D04830" w:rsidRPr="007772C4">
        <w:rPr>
          <w:lang w:val="fr-FR"/>
        </w:rPr>
        <w:t>risquait de ne plus</w:t>
      </w:r>
      <w:r w:rsidR="00880ECD" w:rsidRPr="007772C4">
        <w:rPr>
          <w:lang w:val="fr-FR"/>
        </w:rPr>
        <w:t xml:space="preserve"> être </w:t>
      </w:r>
      <w:r w:rsidR="00D000FA" w:rsidRPr="007772C4">
        <w:rPr>
          <w:lang w:val="fr-FR"/>
        </w:rPr>
        <w:t>fiable lors des débats.</w:t>
      </w:r>
    </w:p>
    <w:p w:rsidR="009119DD" w:rsidRPr="007772C4" w:rsidRDefault="00F710EE" w:rsidP="007772C4">
      <w:pPr>
        <w:pStyle w:val="ECHRPara"/>
        <w:rPr>
          <w:lang w:val="fr-FR"/>
        </w:rPr>
      </w:pPr>
      <w:r w:rsidRPr="007772C4">
        <w:rPr>
          <w:lang w:val="fr-FR"/>
        </w:rPr>
        <w:fldChar w:fldCharType="begin"/>
      </w:r>
      <w:r w:rsidRPr="007772C4">
        <w:rPr>
          <w:lang w:val="fr-FR"/>
        </w:rPr>
        <w:instrText xml:space="preserve"> SEQ level0 \*arabic </w:instrText>
      </w:r>
      <w:r w:rsidRPr="007772C4">
        <w:rPr>
          <w:lang w:val="fr-FR"/>
        </w:rPr>
        <w:fldChar w:fldCharType="separate"/>
      </w:r>
      <w:r w:rsidR="007772C4" w:rsidRPr="007772C4">
        <w:rPr>
          <w:noProof/>
          <w:lang w:val="fr-FR"/>
        </w:rPr>
        <w:t>8</w:t>
      </w:r>
      <w:r w:rsidRPr="007772C4">
        <w:rPr>
          <w:lang w:val="fr-FR"/>
        </w:rPr>
        <w:fldChar w:fldCharType="end"/>
      </w:r>
      <w:r w:rsidRPr="007772C4">
        <w:rPr>
          <w:lang w:val="fr-FR"/>
        </w:rPr>
        <w:t>.  </w:t>
      </w:r>
      <w:r w:rsidR="00405F5E" w:rsidRPr="007772C4">
        <w:rPr>
          <w:lang w:val="fr-FR"/>
        </w:rPr>
        <w:t>Une première</w:t>
      </w:r>
      <w:r w:rsidR="00997935" w:rsidRPr="007772C4">
        <w:rPr>
          <w:lang w:val="fr-FR"/>
        </w:rPr>
        <w:t xml:space="preserve"> </w:t>
      </w:r>
      <w:r w:rsidR="004035ED" w:rsidRPr="007772C4">
        <w:rPr>
          <w:lang w:val="fr-FR"/>
        </w:rPr>
        <w:t>citation à compara</w:t>
      </w:r>
      <w:r w:rsidR="001E199F" w:rsidRPr="007772C4">
        <w:rPr>
          <w:lang w:val="fr-FR"/>
        </w:rPr>
        <w:t>î</w:t>
      </w:r>
      <w:r w:rsidR="004035ED" w:rsidRPr="007772C4">
        <w:rPr>
          <w:lang w:val="fr-FR"/>
        </w:rPr>
        <w:t xml:space="preserve">tre ne put être notifiée </w:t>
      </w:r>
      <w:r w:rsidR="00997935" w:rsidRPr="007772C4">
        <w:rPr>
          <w:lang w:val="fr-FR"/>
        </w:rPr>
        <w:t>à C.C.</w:t>
      </w:r>
      <w:r w:rsidR="0014523A" w:rsidRPr="007772C4">
        <w:rPr>
          <w:lang w:val="fr-FR"/>
        </w:rPr>
        <w:t xml:space="preserve"> </w:t>
      </w:r>
      <w:r w:rsidR="00405F5E" w:rsidRPr="007772C4">
        <w:rPr>
          <w:lang w:val="fr-FR"/>
        </w:rPr>
        <w:t>au motif qu</w:t>
      </w:r>
      <w:r w:rsidR="007772C4" w:rsidRPr="007772C4">
        <w:rPr>
          <w:lang w:val="fr-FR"/>
        </w:rPr>
        <w:t>’</w:t>
      </w:r>
      <w:r w:rsidR="0014523A" w:rsidRPr="007772C4">
        <w:rPr>
          <w:lang w:val="fr-FR"/>
        </w:rPr>
        <w:t xml:space="preserve">il </w:t>
      </w:r>
      <w:r w:rsidR="004035ED" w:rsidRPr="007772C4">
        <w:rPr>
          <w:lang w:val="fr-FR"/>
        </w:rPr>
        <w:t>ne se trouvait</w:t>
      </w:r>
      <w:r w:rsidR="0014523A" w:rsidRPr="007772C4">
        <w:rPr>
          <w:lang w:val="fr-FR"/>
        </w:rPr>
        <w:t xml:space="preserve"> </w:t>
      </w:r>
      <w:r w:rsidR="004035ED" w:rsidRPr="007772C4">
        <w:rPr>
          <w:lang w:val="fr-FR"/>
        </w:rPr>
        <w:t>plus au</w:t>
      </w:r>
      <w:r w:rsidR="0014523A" w:rsidRPr="007772C4">
        <w:rPr>
          <w:lang w:val="fr-FR"/>
        </w:rPr>
        <w:t xml:space="preserve"> domicile de </w:t>
      </w:r>
      <w:r w:rsidR="00AE1FED" w:rsidRPr="007772C4">
        <w:rPr>
          <w:lang w:val="fr-FR"/>
        </w:rPr>
        <w:t>ses parents</w:t>
      </w:r>
      <w:r w:rsidR="004035ED" w:rsidRPr="007772C4">
        <w:rPr>
          <w:lang w:val="fr-FR"/>
        </w:rPr>
        <w:t>.</w:t>
      </w:r>
    </w:p>
    <w:p w:rsidR="00D000FA" w:rsidRPr="007772C4" w:rsidRDefault="00760F4E" w:rsidP="007772C4">
      <w:pPr>
        <w:pStyle w:val="ECHRPara"/>
        <w:rPr>
          <w:lang w:val="fr-FR"/>
        </w:rPr>
      </w:pPr>
      <w:r w:rsidRPr="007772C4">
        <w:rPr>
          <w:lang w:val="fr-FR"/>
        </w:rPr>
        <w:fldChar w:fldCharType="begin"/>
      </w:r>
      <w:r w:rsidRPr="007772C4">
        <w:rPr>
          <w:lang w:val="fr-FR"/>
        </w:rPr>
        <w:instrText xml:space="preserve"> SEQ level0 \*arabic </w:instrText>
      </w:r>
      <w:r w:rsidRPr="007772C4">
        <w:rPr>
          <w:lang w:val="fr-FR"/>
        </w:rPr>
        <w:fldChar w:fldCharType="separate"/>
      </w:r>
      <w:r w:rsidR="007772C4" w:rsidRPr="007772C4">
        <w:rPr>
          <w:noProof/>
          <w:lang w:val="fr-FR"/>
        </w:rPr>
        <w:t>9</w:t>
      </w:r>
      <w:r w:rsidRPr="007772C4">
        <w:rPr>
          <w:lang w:val="fr-FR"/>
        </w:rPr>
        <w:fldChar w:fldCharType="end"/>
      </w:r>
      <w:r w:rsidRPr="007772C4">
        <w:rPr>
          <w:lang w:val="fr-FR"/>
        </w:rPr>
        <w:t xml:space="preserve">.  Une deuxième </w:t>
      </w:r>
      <w:r w:rsidR="00A31344" w:rsidRPr="007772C4">
        <w:rPr>
          <w:lang w:val="fr-FR"/>
        </w:rPr>
        <w:t xml:space="preserve">citation à comparaître </w:t>
      </w:r>
      <w:r w:rsidR="004035ED" w:rsidRPr="007772C4">
        <w:rPr>
          <w:lang w:val="fr-FR"/>
        </w:rPr>
        <w:t>du</w:t>
      </w:r>
      <w:r w:rsidRPr="007772C4">
        <w:rPr>
          <w:lang w:val="fr-FR"/>
        </w:rPr>
        <w:t xml:space="preserve"> 18 décembre 1996 et une </w:t>
      </w:r>
      <w:r w:rsidR="00AC7B68" w:rsidRPr="007772C4">
        <w:rPr>
          <w:lang w:val="fr-FR"/>
        </w:rPr>
        <w:t>troisième</w:t>
      </w:r>
      <w:r w:rsidRPr="007772C4">
        <w:rPr>
          <w:lang w:val="fr-FR"/>
        </w:rPr>
        <w:t xml:space="preserve"> </w:t>
      </w:r>
      <w:r w:rsidR="004035ED" w:rsidRPr="007772C4">
        <w:rPr>
          <w:lang w:val="fr-FR"/>
        </w:rPr>
        <w:t xml:space="preserve">du </w:t>
      </w:r>
      <w:r w:rsidRPr="007772C4">
        <w:rPr>
          <w:lang w:val="fr-FR"/>
        </w:rPr>
        <w:t>3 janvier 1997</w:t>
      </w:r>
      <w:r w:rsidR="00A31344" w:rsidRPr="007772C4">
        <w:rPr>
          <w:lang w:val="fr-FR"/>
        </w:rPr>
        <w:t xml:space="preserve"> </w:t>
      </w:r>
      <w:r w:rsidR="004035ED" w:rsidRPr="007772C4">
        <w:rPr>
          <w:lang w:val="fr-FR"/>
        </w:rPr>
        <w:t xml:space="preserve">furent </w:t>
      </w:r>
      <w:r w:rsidR="00405F5E" w:rsidRPr="007772C4">
        <w:rPr>
          <w:lang w:val="fr-FR"/>
        </w:rPr>
        <w:t>délivrées à</w:t>
      </w:r>
      <w:r w:rsidR="004035ED" w:rsidRPr="007772C4">
        <w:rPr>
          <w:lang w:val="fr-FR"/>
        </w:rPr>
        <w:t xml:space="preserve"> la mère de C.C</w:t>
      </w:r>
      <w:r w:rsidRPr="007772C4">
        <w:rPr>
          <w:lang w:val="fr-FR"/>
        </w:rPr>
        <w:t xml:space="preserve">. </w:t>
      </w:r>
      <w:r w:rsidR="004035ED" w:rsidRPr="007772C4">
        <w:rPr>
          <w:lang w:val="fr-FR"/>
        </w:rPr>
        <w:t xml:space="preserve">Toutefois, ce dernier </w:t>
      </w:r>
      <w:r w:rsidR="009D2931" w:rsidRPr="007772C4">
        <w:rPr>
          <w:lang w:val="fr-FR"/>
        </w:rPr>
        <w:t>ne se présenta pas</w:t>
      </w:r>
      <w:r w:rsidR="009D2931" w:rsidRPr="007772C4" w:rsidDel="00A31344">
        <w:rPr>
          <w:lang w:val="fr-FR"/>
        </w:rPr>
        <w:t xml:space="preserve"> </w:t>
      </w:r>
      <w:r w:rsidR="009D2931" w:rsidRPr="007772C4">
        <w:rPr>
          <w:lang w:val="fr-FR"/>
        </w:rPr>
        <w:t>à</w:t>
      </w:r>
      <w:r w:rsidRPr="007772C4">
        <w:rPr>
          <w:lang w:val="fr-FR"/>
        </w:rPr>
        <w:t xml:space="preserve"> l</w:t>
      </w:r>
      <w:r w:rsidR="007772C4" w:rsidRPr="007772C4">
        <w:rPr>
          <w:lang w:val="fr-FR"/>
        </w:rPr>
        <w:t>’</w:t>
      </w:r>
      <w:r w:rsidRPr="007772C4">
        <w:rPr>
          <w:lang w:val="fr-FR"/>
        </w:rPr>
        <w:t xml:space="preserve">audience </w:t>
      </w:r>
      <w:r w:rsidRPr="007772C4">
        <w:rPr>
          <w:i/>
          <w:lang w:val="fr-FR"/>
        </w:rPr>
        <w:t>ad hoc</w:t>
      </w:r>
      <w:r w:rsidRPr="007772C4">
        <w:rPr>
          <w:lang w:val="fr-FR"/>
        </w:rPr>
        <w:t xml:space="preserve"> </w:t>
      </w:r>
      <w:r w:rsidR="009D2931" w:rsidRPr="007772C4">
        <w:rPr>
          <w:lang w:val="fr-FR"/>
        </w:rPr>
        <w:t>du</w:t>
      </w:r>
      <w:r w:rsidR="000F6B11" w:rsidRPr="007772C4">
        <w:rPr>
          <w:lang w:val="fr-FR"/>
        </w:rPr>
        <w:t xml:space="preserve"> 15 janvier 1997. Le juge </w:t>
      </w:r>
      <w:r w:rsidR="004035ED" w:rsidRPr="007772C4">
        <w:rPr>
          <w:lang w:val="fr-FR"/>
        </w:rPr>
        <w:t>ordonna</w:t>
      </w:r>
      <w:r w:rsidR="009D2931" w:rsidRPr="007772C4">
        <w:rPr>
          <w:lang w:val="fr-FR"/>
        </w:rPr>
        <w:t xml:space="preserve"> </w:t>
      </w:r>
      <w:r w:rsidR="000F6B11" w:rsidRPr="007772C4">
        <w:rPr>
          <w:lang w:val="fr-FR"/>
        </w:rPr>
        <w:t xml:space="preserve">alors </w:t>
      </w:r>
      <w:r w:rsidR="0001294A" w:rsidRPr="007772C4">
        <w:rPr>
          <w:lang w:val="fr-FR"/>
        </w:rPr>
        <w:t>s</w:t>
      </w:r>
      <w:r w:rsidR="004D145F" w:rsidRPr="007772C4">
        <w:rPr>
          <w:lang w:val="fr-FR"/>
        </w:rPr>
        <w:t xml:space="preserve">a </w:t>
      </w:r>
      <w:r w:rsidR="004035ED" w:rsidRPr="007772C4">
        <w:rPr>
          <w:lang w:val="fr-FR"/>
        </w:rPr>
        <w:t>comparution forcée</w:t>
      </w:r>
      <w:r w:rsidR="004035ED" w:rsidRPr="007772C4" w:rsidDel="004035ED">
        <w:rPr>
          <w:lang w:val="fr-FR"/>
        </w:rPr>
        <w:t xml:space="preserve"> </w:t>
      </w:r>
      <w:r w:rsidR="009D2931" w:rsidRPr="007772C4">
        <w:rPr>
          <w:lang w:val="fr-FR"/>
        </w:rPr>
        <w:t>en vue d</w:t>
      </w:r>
      <w:r w:rsidR="007772C4" w:rsidRPr="007772C4">
        <w:rPr>
          <w:lang w:val="fr-FR"/>
        </w:rPr>
        <w:t>’</w:t>
      </w:r>
      <w:r w:rsidR="004D145F" w:rsidRPr="007772C4">
        <w:rPr>
          <w:lang w:val="fr-FR"/>
        </w:rPr>
        <w:t>une</w:t>
      </w:r>
      <w:r w:rsidR="009D2931" w:rsidRPr="007772C4">
        <w:rPr>
          <w:lang w:val="fr-FR"/>
        </w:rPr>
        <w:t xml:space="preserve"> </w:t>
      </w:r>
      <w:r w:rsidR="00997935" w:rsidRPr="007772C4">
        <w:rPr>
          <w:lang w:val="fr-FR"/>
        </w:rPr>
        <w:t>audience</w:t>
      </w:r>
      <w:r w:rsidR="0014523A" w:rsidRPr="007772C4">
        <w:rPr>
          <w:lang w:val="fr-FR"/>
        </w:rPr>
        <w:t xml:space="preserve"> </w:t>
      </w:r>
      <w:r w:rsidR="004D145F" w:rsidRPr="007772C4">
        <w:rPr>
          <w:lang w:val="fr-FR"/>
        </w:rPr>
        <w:t xml:space="preserve">fixée au </w:t>
      </w:r>
      <w:r w:rsidR="00D21185" w:rsidRPr="007772C4">
        <w:rPr>
          <w:lang w:val="fr-FR"/>
        </w:rPr>
        <w:t>27 </w:t>
      </w:r>
      <w:r w:rsidR="000F6B11" w:rsidRPr="007772C4">
        <w:rPr>
          <w:lang w:val="fr-FR"/>
        </w:rPr>
        <w:t xml:space="preserve">janvier 1997. </w:t>
      </w:r>
      <w:r w:rsidR="004D145F" w:rsidRPr="007772C4">
        <w:rPr>
          <w:lang w:val="fr-FR"/>
        </w:rPr>
        <w:t>Cependant, n</w:t>
      </w:r>
      <w:r w:rsidR="000F6B11" w:rsidRPr="007772C4">
        <w:rPr>
          <w:lang w:val="fr-FR"/>
        </w:rPr>
        <w:t>i C.C</w:t>
      </w:r>
      <w:r w:rsidR="00D000FA" w:rsidRPr="007772C4">
        <w:rPr>
          <w:lang w:val="fr-FR"/>
        </w:rPr>
        <w:t>.</w:t>
      </w:r>
      <w:r w:rsidR="000F6B11" w:rsidRPr="007772C4">
        <w:rPr>
          <w:lang w:val="fr-FR"/>
        </w:rPr>
        <w:t xml:space="preserve"> ni le requérant </w:t>
      </w:r>
      <w:r w:rsidR="006C4A8E" w:rsidRPr="007772C4">
        <w:rPr>
          <w:lang w:val="fr-FR"/>
        </w:rPr>
        <w:t>ne comparurent</w:t>
      </w:r>
      <w:r w:rsidR="000F6B11" w:rsidRPr="007772C4">
        <w:rPr>
          <w:lang w:val="fr-FR"/>
        </w:rPr>
        <w:t xml:space="preserve">. </w:t>
      </w:r>
      <w:r w:rsidR="009E79BA" w:rsidRPr="007772C4">
        <w:rPr>
          <w:lang w:val="fr-FR"/>
        </w:rPr>
        <w:t xml:space="preserve">Une nouvelle </w:t>
      </w:r>
      <w:r w:rsidR="000F6B11" w:rsidRPr="007772C4">
        <w:rPr>
          <w:lang w:val="fr-FR"/>
        </w:rPr>
        <w:t xml:space="preserve">audience </w:t>
      </w:r>
      <w:r w:rsidR="0001294A" w:rsidRPr="007772C4">
        <w:rPr>
          <w:lang w:val="fr-FR"/>
        </w:rPr>
        <w:t>se tint le</w:t>
      </w:r>
      <w:r w:rsidR="000F6B11" w:rsidRPr="007772C4">
        <w:rPr>
          <w:lang w:val="fr-FR"/>
        </w:rPr>
        <w:t xml:space="preserve"> 28 </w:t>
      </w:r>
      <w:r w:rsidR="00F615B6" w:rsidRPr="007772C4">
        <w:rPr>
          <w:lang w:val="fr-FR"/>
        </w:rPr>
        <w:t>janvier</w:t>
      </w:r>
      <w:r w:rsidR="0014523A" w:rsidRPr="007772C4">
        <w:rPr>
          <w:lang w:val="fr-FR"/>
        </w:rPr>
        <w:t xml:space="preserve"> 1997</w:t>
      </w:r>
      <w:r w:rsidR="0001294A" w:rsidRPr="007772C4">
        <w:rPr>
          <w:lang w:val="fr-FR"/>
        </w:rPr>
        <w:t xml:space="preserve"> l</w:t>
      </w:r>
      <w:r w:rsidR="0014523A" w:rsidRPr="007772C4">
        <w:rPr>
          <w:lang w:val="fr-FR"/>
        </w:rPr>
        <w:t xml:space="preserve">ors de </w:t>
      </w:r>
      <w:r w:rsidR="0001294A" w:rsidRPr="007772C4">
        <w:rPr>
          <w:lang w:val="fr-FR"/>
        </w:rPr>
        <w:t>laquelle</w:t>
      </w:r>
      <w:r w:rsidR="00AC7B68" w:rsidRPr="007772C4">
        <w:rPr>
          <w:lang w:val="fr-FR"/>
        </w:rPr>
        <w:t xml:space="preserve"> C.C. et le requérant </w:t>
      </w:r>
      <w:r w:rsidR="0014523A" w:rsidRPr="007772C4">
        <w:rPr>
          <w:lang w:val="fr-FR"/>
        </w:rPr>
        <w:t>étaient</w:t>
      </w:r>
      <w:r w:rsidR="00AC7B68" w:rsidRPr="007772C4">
        <w:rPr>
          <w:lang w:val="fr-FR"/>
        </w:rPr>
        <w:t xml:space="preserve"> présent</w:t>
      </w:r>
      <w:r w:rsidR="0014523A" w:rsidRPr="007772C4">
        <w:rPr>
          <w:lang w:val="fr-FR"/>
        </w:rPr>
        <w:t>s</w:t>
      </w:r>
      <w:r w:rsidR="00AC7B68" w:rsidRPr="007772C4">
        <w:rPr>
          <w:lang w:val="fr-FR"/>
        </w:rPr>
        <w:t xml:space="preserve"> mais</w:t>
      </w:r>
      <w:r w:rsidR="000F6B11" w:rsidRPr="007772C4">
        <w:rPr>
          <w:lang w:val="fr-FR"/>
        </w:rPr>
        <w:t xml:space="preserve"> </w:t>
      </w:r>
      <w:r w:rsidR="004D145F" w:rsidRPr="007772C4">
        <w:rPr>
          <w:lang w:val="fr-FR"/>
        </w:rPr>
        <w:t xml:space="preserve">pas </w:t>
      </w:r>
      <w:r w:rsidR="00BE5DA3" w:rsidRPr="007772C4">
        <w:rPr>
          <w:lang w:val="fr-FR"/>
        </w:rPr>
        <w:t>le substitut du procureur qui participait aux débats dans le cadre d</w:t>
      </w:r>
      <w:r w:rsidR="007772C4" w:rsidRPr="007772C4">
        <w:rPr>
          <w:lang w:val="fr-FR"/>
        </w:rPr>
        <w:t>’</w:t>
      </w:r>
      <w:r w:rsidR="00BE5DA3" w:rsidRPr="007772C4">
        <w:rPr>
          <w:lang w:val="fr-FR"/>
        </w:rPr>
        <w:t>une autre procédure pénale.</w:t>
      </w:r>
    </w:p>
    <w:bookmarkStart w:id="3" w:name="par10"/>
    <w:p w:rsidR="000F6B11" w:rsidRPr="007772C4" w:rsidRDefault="000F6B11" w:rsidP="007772C4">
      <w:pPr>
        <w:pStyle w:val="ECHRPara"/>
        <w:rPr>
          <w:lang w:val="fr-FR"/>
        </w:rPr>
      </w:pPr>
      <w:r w:rsidRPr="007772C4">
        <w:rPr>
          <w:lang w:val="fr-FR"/>
        </w:rPr>
        <w:fldChar w:fldCharType="begin"/>
      </w:r>
      <w:r w:rsidRPr="007772C4">
        <w:rPr>
          <w:lang w:val="fr-FR"/>
        </w:rPr>
        <w:instrText xml:space="preserve"> SEQ level0 \*arabic </w:instrText>
      </w:r>
      <w:r w:rsidRPr="007772C4">
        <w:rPr>
          <w:lang w:val="fr-FR"/>
        </w:rPr>
        <w:fldChar w:fldCharType="separate"/>
      </w:r>
      <w:r w:rsidR="007772C4" w:rsidRPr="007772C4">
        <w:rPr>
          <w:noProof/>
          <w:lang w:val="fr-FR"/>
        </w:rPr>
        <w:t>10</w:t>
      </w:r>
      <w:r w:rsidRPr="007772C4">
        <w:rPr>
          <w:lang w:val="fr-FR"/>
        </w:rPr>
        <w:fldChar w:fldCharType="end"/>
      </w:r>
      <w:bookmarkEnd w:id="3"/>
      <w:r w:rsidRPr="007772C4">
        <w:rPr>
          <w:lang w:val="fr-FR"/>
        </w:rPr>
        <w:t>.  </w:t>
      </w:r>
      <w:r w:rsidR="00A84869" w:rsidRPr="007772C4">
        <w:rPr>
          <w:lang w:val="fr-FR"/>
        </w:rPr>
        <w:t xml:space="preserve">Le 22 septembre 1997 eut lieu </w:t>
      </w:r>
      <w:r w:rsidR="00405F5E" w:rsidRPr="007772C4">
        <w:rPr>
          <w:lang w:val="fr-FR"/>
        </w:rPr>
        <w:t>u</w:t>
      </w:r>
      <w:r w:rsidRPr="007772C4">
        <w:rPr>
          <w:lang w:val="fr-FR"/>
        </w:rPr>
        <w:t xml:space="preserve">ne autre audience </w:t>
      </w:r>
      <w:r w:rsidRPr="007772C4">
        <w:rPr>
          <w:i/>
          <w:lang w:val="fr-FR"/>
        </w:rPr>
        <w:t>ad hoc</w:t>
      </w:r>
      <w:r w:rsidRPr="007772C4">
        <w:rPr>
          <w:lang w:val="fr-FR"/>
        </w:rPr>
        <w:t xml:space="preserve"> </w:t>
      </w:r>
      <w:r w:rsidR="004D145F" w:rsidRPr="007772C4">
        <w:rPr>
          <w:lang w:val="fr-FR"/>
        </w:rPr>
        <w:t xml:space="preserve">au cours de laquelle </w:t>
      </w:r>
      <w:r w:rsidRPr="007772C4">
        <w:rPr>
          <w:lang w:val="fr-FR"/>
        </w:rPr>
        <w:t>le juge releva que C.C.</w:t>
      </w:r>
      <w:r w:rsidR="004D145F" w:rsidRPr="007772C4">
        <w:rPr>
          <w:lang w:val="fr-FR"/>
        </w:rPr>
        <w:t>, ne vivant plus au domicile de ses parents depuis deux mois,</w:t>
      </w:r>
      <w:r w:rsidRPr="007772C4">
        <w:rPr>
          <w:lang w:val="fr-FR"/>
        </w:rPr>
        <w:t xml:space="preserve"> n</w:t>
      </w:r>
      <w:r w:rsidR="007772C4" w:rsidRPr="007772C4">
        <w:rPr>
          <w:lang w:val="fr-FR"/>
        </w:rPr>
        <w:t>’</w:t>
      </w:r>
      <w:r w:rsidRPr="007772C4">
        <w:rPr>
          <w:lang w:val="fr-FR"/>
        </w:rPr>
        <w:t xml:space="preserve">avait pas reçu notification </w:t>
      </w:r>
      <w:r w:rsidR="00307A3A" w:rsidRPr="007772C4">
        <w:rPr>
          <w:lang w:val="fr-FR"/>
        </w:rPr>
        <w:t>de la citation à comparaître</w:t>
      </w:r>
      <w:r w:rsidRPr="007772C4">
        <w:rPr>
          <w:lang w:val="fr-FR"/>
        </w:rPr>
        <w:t>.</w:t>
      </w:r>
    </w:p>
    <w:p w:rsidR="00D368A0" w:rsidRPr="007772C4" w:rsidRDefault="004D317B" w:rsidP="007772C4">
      <w:pPr>
        <w:pStyle w:val="ECHRPara"/>
        <w:rPr>
          <w:lang w:val="fr-FR"/>
        </w:rPr>
      </w:pPr>
      <w:r w:rsidRPr="007772C4">
        <w:rPr>
          <w:lang w:val="fr-FR"/>
        </w:rPr>
        <w:fldChar w:fldCharType="begin"/>
      </w:r>
      <w:r w:rsidRPr="007772C4">
        <w:rPr>
          <w:lang w:val="fr-FR"/>
        </w:rPr>
        <w:instrText xml:space="preserve"> SEQ level0 \*arabic </w:instrText>
      </w:r>
      <w:r w:rsidRPr="007772C4">
        <w:rPr>
          <w:lang w:val="fr-FR"/>
        </w:rPr>
        <w:fldChar w:fldCharType="separate"/>
      </w:r>
      <w:r w:rsidR="007772C4" w:rsidRPr="007772C4">
        <w:rPr>
          <w:noProof/>
          <w:lang w:val="fr-FR"/>
        </w:rPr>
        <w:t>11</w:t>
      </w:r>
      <w:r w:rsidRPr="007772C4">
        <w:rPr>
          <w:lang w:val="fr-FR"/>
        </w:rPr>
        <w:fldChar w:fldCharType="end"/>
      </w:r>
      <w:r w:rsidRPr="007772C4">
        <w:rPr>
          <w:lang w:val="fr-FR"/>
        </w:rPr>
        <w:t>.  </w:t>
      </w:r>
      <w:r w:rsidR="008B2FBF" w:rsidRPr="007772C4">
        <w:rPr>
          <w:lang w:val="fr-FR"/>
        </w:rPr>
        <w:t>À</w:t>
      </w:r>
      <w:r w:rsidR="00307A3A" w:rsidRPr="007772C4">
        <w:rPr>
          <w:lang w:val="fr-FR"/>
        </w:rPr>
        <w:t xml:space="preserve"> une audience préliminaire du</w:t>
      </w:r>
      <w:r w:rsidRPr="007772C4">
        <w:rPr>
          <w:lang w:val="fr-FR"/>
        </w:rPr>
        <w:t xml:space="preserve"> 16</w:t>
      </w:r>
      <w:r w:rsidR="00D368A0" w:rsidRPr="007772C4">
        <w:rPr>
          <w:lang w:val="fr-FR"/>
        </w:rPr>
        <w:t xml:space="preserve"> </w:t>
      </w:r>
      <w:r w:rsidRPr="007772C4">
        <w:rPr>
          <w:lang w:val="fr-FR"/>
        </w:rPr>
        <w:t xml:space="preserve">juin </w:t>
      </w:r>
      <w:r w:rsidR="00D368A0" w:rsidRPr="007772C4">
        <w:rPr>
          <w:lang w:val="fr-FR"/>
        </w:rPr>
        <w:t>199</w:t>
      </w:r>
      <w:r w:rsidRPr="007772C4">
        <w:rPr>
          <w:lang w:val="fr-FR"/>
        </w:rPr>
        <w:t>8</w:t>
      </w:r>
      <w:r w:rsidR="00D368A0" w:rsidRPr="007772C4">
        <w:rPr>
          <w:lang w:val="fr-FR"/>
        </w:rPr>
        <w:t>, le requérant fut renvoyé en jugement</w:t>
      </w:r>
      <w:r w:rsidRPr="007772C4">
        <w:rPr>
          <w:lang w:val="fr-FR"/>
        </w:rPr>
        <w:t xml:space="preserve"> </w:t>
      </w:r>
      <w:r w:rsidR="00D000FA" w:rsidRPr="007772C4">
        <w:rPr>
          <w:lang w:val="fr-FR"/>
        </w:rPr>
        <w:t>devant le trib</w:t>
      </w:r>
      <w:r w:rsidR="004617B8" w:rsidRPr="007772C4">
        <w:rPr>
          <w:lang w:val="fr-FR"/>
        </w:rPr>
        <w:t>unal de Trani</w:t>
      </w:r>
      <w:r w:rsidR="00D000FA" w:rsidRPr="007772C4">
        <w:rPr>
          <w:lang w:val="fr-FR"/>
        </w:rPr>
        <w:t xml:space="preserve"> </w:t>
      </w:r>
      <w:r w:rsidR="00307A3A" w:rsidRPr="007772C4">
        <w:rPr>
          <w:lang w:val="fr-FR"/>
        </w:rPr>
        <w:t xml:space="preserve">(« le tribunal ») </w:t>
      </w:r>
      <w:r w:rsidRPr="007772C4">
        <w:rPr>
          <w:lang w:val="fr-FR"/>
        </w:rPr>
        <w:t xml:space="preserve">pour avoir volé le </w:t>
      </w:r>
      <w:r w:rsidR="000C49F8" w:rsidRPr="007772C4">
        <w:rPr>
          <w:lang w:val="fr-FR"/>
        </w:rPr>
        <w:t>portefeuille</w:t>
      </w:r>
      <w:r w:rsidRPr="007772C4">
        <w:rPr>
          <w:lang w:val="fr-FR"/>
        </w:rPr>
        <w:t xml:space="preserve"> de </w:t>
      </w:r>
      <w:r w:rsidR="00307A3A" w:rsidRPr="007772C4">
        <w:rPr>
          <w:lang w:val="fr-FR"/>
        </w:rPr>
        <w:t xml:space="preserve">C.C. </w:t>
      </w:r>
      <w:r w:rsidRPr="007772C4">
        <w:rPr>
          <w:lang w:val="fr-FR"/>
        </w:rPr>
        <w:t xml:space="preserve">et </w:t>
      </w:r>
      <w:r w:rsidR="00307A3A" w:rsidRPr="007772C4">
        <w:rPr>
          <w:lang w:val="fr-FR"/>
        </w:rPr>
        <w:t xml:space="preserve">pour </w:t>
      </w:r>
      <w:r w:rsidRPr="007772C4">
        <w:rPr>
          <w:lang w:val="fr-FR"/>
        </w:rPr>
        <w:t xml:space="preserve">avoir frappé </w:t>
      </w:r>
      <w:r w:rsidR="00307A3A" w:rsidRPr="007772C4">
        <w:rPr>
          <w:lang w:val="fr-FR"/>
        </w:rPr>
        <w:t xml:space="preserve">celui-ci </w:t>
      </w:r>
      <w:r w:rsidRPr="007772C4">
        <w:rPr>
          <w:lang w:val="fr-FR"/>
        </w:rPr>
        <w:t xml:space="preserve">au visage </w:t>
      </w:r>
      <w:r w:rsidR="00307A3A" w:rsidRPr="007772C4">
        <w:rPr>
          <w:lang w:val="fr-FR"/>
        </w:rPr>
        <w:t xml:space="preserve">avec le </w:t>
      </w:r>
      <w:r w:rsidRPr="007772C4">
        <w:rPr>
          <w:lang w:val="fr-FR"/>
        </w:rPr>
        <w:t xml:space="preserve">concours </w:t>
      </w:r>
      <w:r w:rsidR="00307A3A" w:rsidRPr="007772C4">
        <w:rPr>
          <w:lang w:val="fr-FR"/>
        </w:rPr>
        <w:t xml:space="preserve">de </w:t>
      </w:r>
      <w:r w:rsidRPr="007772C4">
        <w:rPr>
          <w:lang w:val="fr-FR"/>
        </w:rPr>
        <w:t>L.D.</w:t>
      </w:r>
    </w:p>
    <w:bookmarkStart w:id="4" w:name="par12"/>
    <w:p w:rsidR="00EE1E89" w:rsidRPr="007772C4" w:rsidRDefault="00EE1E89" w:rsidP="007772C4">
      <w:pPr>
        <w:pStyle w:val="ECHRPara"/>
        <w:rPr>
          <w:lang w:val="fr-FR"/>
        </w:rPr>
      </w:pPr>
      <w:r w:rsidRPr="007772C4">
        <w:rPr>
          <w:lang w:val="fr-FR"/>
        </w:rPr>
        <w:fldChar w:fldCharType="begin"/>
      </w:r>
      <w:r w:rsidRPr="007772C4">
        <w:rPr>
          <w:lang w:val="fr-FR"/>
        </w:rPr>
        <w:instrText xml:space="preserve"> SEQ level0 \*arabic </w:instrText>
      </w:r>
      <w:r w:rsidRPr="007772C4">
        <w:rPr>
          <w:lang w:val="fr-FR"/>
        </w:rPr>
        <w:fldChar w:fldCharType="separate"/>
      </w:r>
      <w:r w:rsidR="007772C4" w:rsidRPr="007772C4">
        <w:rPr>
          <w:noProof/>
          <w:lang w:val="fr-FR"/>
        </w:rPr>
        <w:t>12</w:t>
      </w:r>
      <w:r w:rsidRPr="007772C4">
        <w:rPr>
          <w:lang w:val="fr-FR"/>
        </w:rPr>
        <w:fldChar w:fldCharType="end"/>
      </w:r>
      <w:bookmarkEnd w:id="4"/>
      <w:r w:rsidRPr="007772C4">
        <w:rPr>
          <w:lang w:val="fr-FR"/>
        </w:rPr>
        <w:t>.  </w:t>
      </w:r>
      <w:r w:rsidR="003556C0" w:rsidRPr="007772C4">
        <w:rPr>
          <w:lang w:val="fr-FR"/>
        </w:rPr>
        <w:t>À</w:t>
      </w:r>
      <w:r w:rsidRPr="007772C4">
        <w:rPr>
          <w:lang w:val="fr-FR"/>
        </w:rPr>
        <w:t xml:space="preserve"> l</w:t>
      </w:r>
      <w:r w:rsidR="007772C4" w:rsidRPr="007772C4">
        <w:rPr>
          <w:lang w:val="fr-FR"/>
        </w:rPr>
        <w:t>’</w:t>
      </w:r>
      <w:r w:rsidRPr="007772C4">
        <w:rPr>
          <w:lang w:val="fr-FR"/>
        </w:rPr>
        <w:t xml:space="preserve">audience du </w:t>
      </w:r>
      <w:r w:rsidR="00C2731A" w:rsidRPr="007772C4">
        <w:rPr>
          <w:lang w:val="fr-FR"/>
        </w:rPr>
        <w:t>27 mai 200</w:t>
      </w:r>
      <w:r w:rsidR="00E16750" w:rsidRPr="007772C4">
        <w:rPr>
          <w:lang w:val="fr-FR"/>
        </w:rPr>
        <w:t>3</w:t>
      </w:r>
      <w:r w:rsidRPr="007772C4">
        <w:rPr>
          <w:lang w:val="fr-FR"/>
        </w:rPr>
        <w:t xml:space="preserve">, C.C. ne se </w:t>
      </w:r>
      <w:r w:rsidR="0014523A" w:rsidRPr="007772C4">
        <w:rPr>
          <w:lang w:val="fr-FR"/>
        </w:rPr>
        <w:t>présenta</w:t>
      </w:r>
      <w:r w:rsidRPr="007772C4">
        <w:rPr>
          <w:lang w:val="fr-FR"/>
        </w:rPr>
        <w:t xml:space="preserve"> pas.</w:t>
      </w:r>
      <w:r w:rsidR="005A5552" w:rsidRPr="007772C4">
        <w:rPr>
          <w:lang w:val="fr-FR"/>
        </w:rPr>
        <w:t xml:space="preserve"> Il fut mentionné l</w:t>
      </w:r>
      <w:r w:rsidRPr="007772C4">
        <w:rPr>
          <w:lang w:val="fr-FR"/>
        </w:rPr>
        <w:t xml:space="preserve">ors de </w:t>
      </w:r>
      <w:r w:rsidR="007F13E5" w:rsidRPr="007772C4">
        <w:rPr>
          <w:lang w:val="fr-FR"/>
        </w:rPr>
        <w:t xml:space="preserve">cette </w:t>
      </w:r>
      <w:r w:rsidR="00D000FA" w:rsidRPr="007772C4">
        <w:rPr>
          <w:lang w:val="fr-FR"/>
        </w:rPr>
        <w:t>audience</w:t>
      </w:r>
      <w:r w:rsidR="005A5552" w:rsidRPr="007772C4">
        <w:rPr>
          <w:lang w:val="fr-FR"/>
        </w:rPr>
        <w:t xml:space="preserve"> </w:t>
      </w:r>
      <w:r w:rsidRPr="007772C4">
        <w:rPr>
          <w:lang w:val="fr-FR"/>
        </w:rPr>
        <w:t>que C.C. n</w:t>
      </w:r>
      <w:r w:rsidR="007772C4" w:rsidRPr="007772C4">
        <w:rPr>
          <w:lang w:val="fr-FR"/>
        </w:rPr>
        <w:t>’</w:t>
      </w:r>
      <w:r w:rsidRPr="007772C4">
        <w:rPr>
          <w:lang w:val="fr-FR"/>
        </w:rPr>
        <w:t xml:space="preserve">avait pas </w:t>
      </w:r>
      <w:r w:rsidR="00D000FA" w:rsidRPr="007772C4">
        <w:rPr>
          <w:lang w:val="fr-FR"/>
        </w:rPr>
        <w:t>reçu</w:t>
      </w:r>
      <w:r w:rsidRPr="007772C4">
        <w:rPr>
          <w:lang w:val="fr-FR"/>
        </w:rPr>
        <w:t xml:space="preserve"> notification </w:t>
      </w:r>
      <w:r w:rsidR="00F615B6" w:rsidRPr="007772C4">
        <w:rPr>
          <w:lang w:val="fr-FR"/>
        </w:rPr>
        <w:t xml:space="preserve">de la citation à comparaître </w:t>
      </w:r>
      <w:r w:rsidR="00712672" w:rsidRPr="007772C4">
        <w:rPr>
          <w:lang w:val="fr-FR"/>
        </w:rPr>
        <w:t>au</w:t>
      </w:r>
      <w:r w:rsidR="00F615B6" w:rsidRPr="007772C4">
        <w:rPr>
          <w:lang w:val="fr-FR"/>
        </w:rPr>
        <w:t xml:space="preserve"> domicile qu</w:t>
      </w:r>
      <w:r w:rsidR="007772C4" w:rsidRPr="007772C4">
        <w:rPr>
          <w:lang w:val="fr-FR"/>
        </w:rPr>
        <w:t>’</w:t>
      </w:r>
      <w:r w:rsidR="00F615B6" w:rsidRPr="007772C4">
        <w:rPr>
          <w:lang w:val="fr-FR"/>
        </w:rPr>
        <w:t xml:space="preserve">il avait </w:t>
      </w:r>
      <w:r w:rsidR="00712672" w:rsidRPr="007772C4">
        <w:rPr>
          <w:lang w:val="fr-FR"/>
        </w:rPr>
        <w:t xml:space="preserve">indiqué aux autorités, à savoir </w:t>
      </w:r>
      <w:r w:rsidR="00F615B6" w:rsidRPr="007772C4">
        <w:rPr>
          <w:lang w:val="fr-FR"/>
        </w:rPr>
        <w:t xml:space="preserve">chez </w:t>
      </w:r>
      <w:r w:rsidR="0014523A" w:rsidRPr="007772C4">
        <w:rPr>
          <w:lang w:val="fr-FR"/>
        </w:rPr>
        <w:t>ses parents</w:t>
      </w:r>
      <w:r w:rsidR="00D000FA" w:rsidRPr="007772C4">
        <w:rPr>
          <w:lang w:val="fr-FR"/>
        </w:rPr>
        <w:t>.</w:t>
      </w:r>
    </w:p>
    <w:bookmarkStart w:id="5" w:name="par13"/>
    <w:p w:rsidR="00AC7B68" w:rsidRPr="007772C4" w:rsidRDefault="00EE1E89" w:rsidP="007772C4">
      <w:pPr>
        <w:pStyle w:val="ECHRPara"/>
        <w:rPr>
          <w:lang w:val="fr-FR"/>
        </w:rPr>
      </w:pPr>
      <w:r w:rsidRPr="007772C4">
        <w:rPr>
          <w:lang w:val="fr-FR"/>
        </w:rPr>
        <w:fldChar w:fldCharType="begin"/>
      </w:r>
      <w:r w:rsidRPr="007772C4">
        <w:rPr>
          <w:lang w:val="fr-FR"/>
        </w:rPr>
        <w:instrText xml:space="preserve"> SEQ level0 \*arabic </w:instrText>
      </w:r>
      <w:r w:rsidRPr="007772C4">
        <w:rPr>
          <w:lang w:val="fr-FR"/>
        </w:rPr>
        <w:fldChar w:fldCharType="separate"/>
      </w:r>
      <w:r w:rsidR="007772C4" w:rsidRPr="007772C4">
        <w:rPr>
          <w:noProof/>
          <w:lang w:val="fr-FR"/>
        </w:rPr>
        <w:t>13</w:t>
      </w:r>
      <w:r w:rsidRPr="007772C4">
        <w:rPr>
          <w:lang w:val="fr-FR"/>
        </w:rPr>
        <w:fldChar w:fldCharType="end"/>
      </w:r>
      <w:bookmarkEnd w:id="5"/>
      <w:r w:rsidRPr="007772C4">
        <w:rPr>
          <w:lang w:val="fr-FR"/>
        </w:rPr>
        <w:t>.  </w:t>
      </w:r>
      <w:r w:rsidR="00AC7B68" w:rsidRPr="007772C4">
        <w:rPr>
          <w:lang w:val="fr-FR"/>
        </w:rPr>
        <w:t xml:space="preserve">Le 3 </w:t>
      </w:r>
      <w:r w:rsidR="002C3D15" w:rsidRPr="007772C4">
        <w:rPr>
          <w:lang w:val="fr-FR"/>
        </w:rPr>
        <w:t>juin 2003, la police rédigea un</w:t>
      </w:r>
      <w:r w:rsidR="00AC7B68" w:rsidRPr="007772C4">
        <w:rPr>
          <w:lang w:val="fr-FR"/>
        </w:rPr>
        <w:t xml:space="preserve"> procès-verbal d</w:t>
      </w:r>
      <w:r w:rsidR="005639F7" w:rsidRPr="007772C4">
        <w:rPr>
          <w:lang w:val="fr-FR"/>
        </w:rPr>
        <w:t>e recherches infructueuses</w:t>
      </w:r>
      <w:r w:rsidR="005B24AE" w:rsidRPr="007772C4">
        <w:rPr>
          <w:lang w:val="fr-FR"/>
        </w:rPr>
        <w:t xml:space="preserve"> au motif que C.C. n</w:t>
      </w:r>
      <w:r w:rsidR="007772C4" w:rsidRPr="007772C4">
        <w:rPr>
          <w:lang w:val="fr-FR"/>
        </w:rPr>
        <w:t>’</w:t>
      </w:r>
      <w:r w:rsidR="005B24AE" w:rsidRPr="007772C4">
        <w:rPr>
          <w:lang w:val="fr-FR"/>
        </w:rPr>
        <w:t>avait pas été</w:t>
      </w:r>
      <w:r w:rsidR="00AC7B68" w:rsidRPr="007772C4">
        <w:rPr>
          <w:lang w:val="fr-FR"/>
        </w:rPr>
        <w:t xml:space="preserve"> trouvé </w:t>
      </w:r>
      <w:r w:rsidR="007D5AAA" w:rsidRPr="007772C4">
        <w:rPr>
          <w:rFonts w:ascii="Times New Roman" w:eastAsia="Times New Roman" w:hAnsi="Times New Roman" w:cs="Times New Roman"/>
          <w:szCs w:val="24"/>
          <w:lang w:val="fr-FR"/>
        </w:rPr>
        <w:t>au</w:t>
      </w:r>
      <w:r w:rsidR="00E66170" w:rsidRPr="007772C4">
        <w:rPr>
          <w:rFonts w:ascii="Times New Roman" w:eastAsia="Times New Roman" w:hAnsi="Times New Roman" w:cs="Times New Roman"/>
          <w:szCs w:val="24"/>
          <w:lang w:val="fr-FR"/>
        </w:rPr>
        <w:t xml:space="preserve"> domicile </w:t>
      </w:r>
      <w:r w:rsidR="007D5AAA" w:rsidRPr="007772C4">
        <w:rPr>
          <w:lang w:val="fr-FR"/>
        </w:rPr>
        <w:t>qu</w:t>
      </w:r>
      <w:r w:rsidR="007772C4" w:rsidRPr="007772C4">
        <w:rPr>
          <w:lang w:val="fr-FR"/>
        </w:rPr>
        <w:t>’</w:t>
      </w:r>
      <w:r w:rsidR="007D5AAA" w:rsidRPr="007772C4">
        <w:rPr>
          <w:lang w:val="fr-FR"/>
        </w:rPr>
        <w:t>il avait indiqué aux autorités</w:t>
      </w:r>
      <w:r w:rsidR="00F615B6" w:rsidRPr="007772C4">
        <w:rPr>
          <w:rFonts w:ascii="Times New Roman" w:eastAsia="Times New Roman" w:hAnsi="Times New Roman" w:cs="Times New Roman"/>
          <w:szCs w:val="24"/>
          <w:lang w:val="fr-FR"/>
        </w:rPr>
        <w:t>.</w:t>
      </w:r>
      <w:r w:rsidR="00E16750" w:rsidRPr="007772C4">
        <w:rPr>
          <w:rFonts w:ascii="Times New Roman" w:eastAsia="Times New Roman" w:hAnsi="Times New Roman" w:cs="Times New Roman"/>
          <w:szCs w:val="24"/>
          <w:lang w:val="fr-FR"/>
        </w:rPr>
        <w:t xml:space="preserve"> </w:t>
      </w:r>
      <w:r w:rsidR="00F1728B" w:rsidRPr="007772C4">
        <w:rPr>
          <w:rFonts w:ascii="Times New Roman" w:eastAsia="Times New Roman" w:hAnsi="Times New Roman" w:cs="Times New Roman"/>
          <w:szCs w:val="24"/>
          <w:lang w:val="fr-FR"/>
        </w:rPr>
        <w:t>Selon ce</w:t>
      </w:r>
      <w:r w:rsidR="0014523A" w:rsidRPr="007772C4">
        <w:rPr>
          <w:rFonts w:ascii="Times New Roman" w:eastAsia="Times New Roman" w:hAnsi="Times New Roman" w:cs="Times New Roman"/>
          <w:szCs w:val="24"/>
          <w:lang w:val="fr-FR"/>
        </w:rPr>
        <w:t xml:space="preserve"> </w:t>
      </w:r>
      <w:r w:rsidR="00E16750" w:rsidRPr="007772C4">
        <w:rPr>
          <w:rFonts w:ascii="Times New Roman" w:eastAsia="Times New Roman" w:hAnsi="Times New Roman" w:cs="Times New Roman"/>
          <w:szCs w:val="24"/>
          <w:lang w:val="fr-FR"/>
        </w:rPr>
        <w:t>procès-verbal</w:t>
      </w:r>
      <w:r w:rsidR="00F1728B" w:rsidRPr="007772C4">
        <w:rPr>
          <w:rFonts w:ascii="Times New Roman" w:eastAsia="Times New Roman" w:hAnsi="Times New Roman" w:cs="Times New Roman"/>
          <w:szCs w:val="24"/>
          <w:lang w:val="fr-FR"/>
        </w:rPr>
        <w:t xml:space="preserve">, </w:t>
      </w:r>
      <w:r w:rsidR="0014523A" w:rsidRPr="007772C4">
        <w:rPr>
          <w:rFonts w:ascii="Times New Roman" w:eastAsia="Times New Roman" w:hAnsi="Times New Roman" w:cs="Times New Roman"/>
          <w:szCs w:val="24"/>
          <w:lang w:val="fr-FR"/>
        </w:rPr>
        <w:t xml:space="preserve">les parents </w:t>
      </w:r>
      <w:r w:rsidR="00F1728B" w:rsidRPr="007772C4">
        <w:rPr>
          <w:rFonts w:ascii="Times New Roman" w:eastAsia="Times New Roman" w:hAnsi="Times New Roman" w:cs="Times New Roman"/>
          <w:szCs w:val="24"/>
          <w:lang w:val="fr-FR"/>
        </w:rPr>
        <w:t xml:space="preserve">de </w:t>
      </w:r>
      <w:r w:rsidR="00F1728B" w:rsidRPr="007772C4">
        <w:rPr>
          <w:lang w:val="fr-FR"/>
        </w:rPr>
        <w:t xml:space="preserve">C.C. </w:t>
      </w:r>
      <w:r w:rsidR="0014523A" w:rsidRPr="007772C4">
        <w:rPr>
          <w:rFonts w:ascii="Times New Roman" w:eastAsia="Times New Roman" w:hAnsi="Times New Roman" w:cs="Times New Roman"/>
          <w:szCs w:val="24"/>
          <w:lang w:val="fr-FR"/>
        </w:rPr>
        <w:t xml:space="preserve">avaient </w:t>
      </w:r>
      <w:r w:rsidR="00E16750" w:rsidRPr="007772C4">
        <w:rPr>
          <w:rFonts w:ascii="Times New Roman" w:eastAsia="Times New Roman" w:hAnsi="Times New Roman" w:cs="Times New Roman"/>
          <w:szCs w:val="24"/>
          <w:lang w:val="fr-FR"/>
        </w:rPr>
        <w:t>déclaré</w:t>
      </w:r>
      <w:r w:rsidR="0014523A" w:rsidRPr="007772C4">
        <w:rPr>
          <w:rFonts w:ascii="Times New Roman" w:eastAsia="Times New Roman" w:hAnsi="Times New Roman" w:cs="Times New Roman"/>
          <w:szCs w:val="24"/>
          <w:lang w:val="fr-FR"/>
        </w:rPr>
        <w:t xml:space="preserve"> que </w:t>
      </w:r>
      <w:r w:rsidR="00F1728B" w:rsidRPr="007772C4">
        <w:rPr>
          <w:rFonts w:ascii="Times New Roman" w:eastAsia="Times New Roman" w:hAnsi="Times New Roman" w:cs="Times New Roman"/>
          <w:szCs w:val="24"/>
          <w:lang w:val="fr-FR"/>
        </w:rPr>
        <w:t>ce dernier</w:t>
      </w:r>
      <w:r w:rsidR="0014523A" w:rsidRPr="007772C4">
        <w:rPr>
          <w:rFonts w:ascii="Times New Roman" w:eastAsia="Times New Roman" w:hAnsi="Times New Roman" w:cs="Times New Roman"/>
          <w:szCs w:val="24"/>
          <w:lang w:val="fr-FR"/>
        </w:rPr>
        <w:t xml:space="preserve"> ne vivait plu</w:t>
      </w:r>
      <w:r w:rsidR="00E16750" w:rsidRPr="007772C4">
        <w:rPr>
          <w:rFonts w:ascii="Times New Roman" w:eastAsia="Times New Roman" w:hAnsi="Times New Roman" w:cs="Times New Roman"/>
          <w:szCs w:val="24"/>
          <w:lang w:val="fr-FR"/>
        </w:rPr>
        <w:t>s</w:t>
      </w:r>
      <w:r w:rsidR="0014523A" w:rsidRPr="007772C4">
        <w:rPr>
          <w:rFonts w:ascii="Times New Roman" w:eastAsia="Times New Roman" w:hAnsi="Times New Roman" w:cs="Times New Roman"/>
          <w:szCs w:val="24"/>
          <w:lang w:val="fr-FR"/>
        </w:rPr>
        <w:t xml:space="preserve"> </w:t>
      </w:r>
      <w:r w:rsidR="00E16750" w:rsidRPr="007772C4">
        <w:rPr>
          <w:rFonts w:ascii="Times New Roman" w:eastAsia="Times New Roman" w:hAnsi="Times New Roman" w:cs="Times New Roman"/>
          <w:szCs w:val="24"/>
          <w:lang w:val="fr-FR"/>
        </w:rPr>
        <w:t>avec</w:t>
      </w:r>
      <w:r w:rsidR="0014523A" w:rsidRPr="007772C4">
        <w:rPr>
          <w:rFonts w:ascii="Times New Roman" w:eastAsia="Times New Roman" w:hAnsi="Times New Roman" w:cs="Times New Roman"/>
          <w:szCs w:val="24"/>
          <w:lang w:val="fr-FR"/>
        </w:rPr>
        <w:t xml:space="preserve"> eux depuis trois ans et qu</w:t>
      </w:r>
      <w:r w:rsidR="007772C4" w:rsidRPr="007772C4">
        <w:rPr>
          <w:rFonts w:ascii="Times New Roman" w:eastAsia="Times New Roman" w:hAnsi="Times New Roman" w:cs="Times New Roman"/>
          <w:szCs w:val="24"/>
          <w:lang w:val="fr-FR"/>
        </w:rPr>
        <w:t>’</w:t>
      </w:r>
      <w:r w:rsidR="0014523A" w:rsidRPr="007772C4">
        <w:rPr>
          <w:rFonts w:ascii="Times New Roman" w:eastAsia="Times New Roman" w:hAnsi="Times New Roman" w:cs="Times New Roman"/>
          <w:szCs w:val="24"/>
          <w:lang w:val="fr-FR"/>
        </w:rPr>
        <w:t>il</w:t>
      </w:r>
      <w:r w:rsidR="00E16750" w:rsidRPr="007772C4">
        <w:rPr>
          <w:rFonts w:ascii="Times New Roman" w:eastAsia="Times New Roman" w:hAnsi="Times New Roman" w:cs="Times New Roman"/>
          <w:szCs w:val="24"/>
          <w:lang w:val="fr-FR"/>
        </w:rPr>
        <w:t>s</w:t>
      </w:r>
      <w:r w:rsidR="0014523A" w:rsidRPr="007772C4">
        <w:rPr>
          <w:rFonts w:ascii="Times New Roman" w:eastAsia="Times New Roman" w:hAnsi="Times New Roman" w:cs="Times New Roman"/>
          <w:szCs w:val="24"/>
          <w:lang w:val="fr-FR"/>
        </w:rPr>
        <w:t xml:space="preserve"> ne savaient pas où il </w:t>
      </w:r>
      <w:r w:rsidR="00DD0826" w:rsidRPr="007772C4">
        <w:rPr>
          <w:rFonts w:ascii="Times New Roman" w:eastAsia="Times New Roman" w:hAnsi="Times New Roman" w:cs="Times New Roman"/>
          <w:szCs w:val="24"/>
          <w:lang w:val="fr-FR"/>
        </w:rPr>
        <w:t>se trouvait</w:t>
      </w:r>
      <w:r w:rsidR="0014523A" w:rsidRPr="007772C4">
        <w:rPr>
          <w:rFonts w:ascii="Times New Roman" w:eastAsia="Times New Roman" w:hAnsi="Times New Roman" w:cs="Times New Roman"/>
          <w:szCs w:val="24"/>
          <w:lang w:val="fr-FR"/>
        </w:rPr>
        <w:t>.</w:t>
      </w:r>
    </w:p>
    <w:p w:rsidR="000F6B11" w:rsidRPr="007772C4" w:rsidRDefault="004D317B" w:rsidP="007772C4">
      <w:pPr>
        <w:pStyle w:val="ECHRPara"/>
        <w:rPr>
          <w:lang w:val="fr-FR"/>
        </w:rPr>
      </w:pPr>
      <w:r w:rsidRPr="007772C4">
        <w:rPr>
          <w:lang w:val="fr-FR"/>
        </w:rPr>
        <w:fldChar w:fldCharType="begin"/>
      </w:r>
      <w:r w:rsidRPr="007772C4">
        <w:rPr>
          <w:lang w:val="fr-FR"/>
        </w:rPr>
        <w:instrText xml:space="preserve"> SEQ level0 \*arabic </w:instrText>
      </w:r>
      <w:r w:rsidRPr="007772C4">
        <w:rPr>
          <w:lang w:val="fr-FR"/>
        </w:rPr>
        <w:fldChar w:fldCharType="separate"/>
      </w:r>
      <w:r w:rsidR="007772C4" w:rsidRPr="007772C4">
        <w:rPr>
          <w:noProof/>
          <w:lang w:val="fr-FR"/>
        </w:rPr>
        <w:t>14</w:t>
      </w:r>
      <w:r w:rsidRPr="007772C4">
        <w:rPr>
          <w:lang w:val="fr-FR"/>
        </w:rPr>
        <w:fldChar w:fldCharType="end"/>
      </w:r>
      <w:r w:rsidRPr="007772C4">
        <w:rPr>
          <w:lang w:val="fr-FR"/>
        </w:rPr>
        <w:t>.  </w:t>
      </w:r>
      <w:r w:rsidR="000827FC" w:rsidRPr="007772C4">
        <w:rPr>
          <w:lang w:val="fr-FR"/>
        </w:rPr>
        <w:t>À</w:t>
      </w:r>
      <w:r w:rsidR="000C49F8" w:rsidRPr="007772C4">
        <w:rPr>
          <w:lang w:val="fr-FR"/>
        </w:rPr>
        <w:t xml:space="preserve"> l</w:t>
      </w:r>
      <w:r w:rsidR="007772C4" w:rsidRPr="007772C4">
        <w:rPr>
          <w:lang w:val="fr-FR"/>
        </w:rPr>
        <w:t>’</w:t>
      </w:r>
      <w:r w:rsidR="000C49F8" w:rsidRPr="007772C4">
        <w:rPr>
          <w:lang w:val="fr-FR"/>
        </w:rPr>
        <w:t>audience du 6 décembre 2004</w:t>
      </w:r>
      <w:r w:rsidR="009119DD" w:rsidRPr="007772C4">
        <w:rPr>
          <w:lang w:val="fr-FR"/>
        </w:rPr>
        <w:t xml:space="preserve">, </w:t>
      </w:r>
      <w:r w:rsidR="00D40063" w:rsidRPr="007772C4">
        <w:rPr>
          <w:lang w:val="fr-FR"/>
        </w:rPr>
        <w:t xml:space="preserve">le carabinier </w:t>
      </w:r>
      <w:r w:rsidR="00BE5DA3" w:rsidRPr="007772C4">
        <w:rPr>
          <w:lang w:val="fr-FR"/>
        </w:rPr>
        <w:t>L.R</w:t>
      </w:r>
      <w:r w:rsidR="009119DD" w:rsidRPr="007772C4">
        <w:rPr>
          <w:lang w:val="fr-FR"/>
        </w:rPr>
        <w:t xml:space="preserve">. </w:t>
      </w:r>
      <w:r w:rsidR="000827FC" w:rsidRPr="007772C4">
        <w:rPr>
          <w:lang w:val="fr-FR"/>
        </w:rPr>
        <w:t>fut entendu</w:t>
      </w:r>
      <w:r w:rsidR="009119DD" w:rsidRPr="007772C4">
        <w:rPr>
          <w:lang w:val="fr-FR"/>
        </w:rPr>
        <w:t>.</w:t>
      </w:r>
      <w:r w:rsidR="00997935" w:rsidRPr="007772C4">
        <w:rPr>
          <w:lang w:val="fr-FR"/>
        </w:rPr>
        <w:t xml:space="preserve"> </w:t>
      </w:r>
      <w:r w:rsidR="000827FC" w:rsidRPr="007772C4">
        <w:rPr>
          <w:lang w:val="fr-FR"/>
        </w:rPr>
        <w:t>Il</w:t>
      </w:r>
      <w:r w:rsidR="00997935" w:rsidRPr="007772C4">
        <w:rPr>
          <w:lang w:val="fr-FR"/>
        </w:rPr>
        <w:t xml:space="preserve"> </w:t>
      </w:r>
      <w:r w:rsidR="000827FC" w:rsidRPr="007772C4">
        <w:rPr>
          <w:lang w:val="fr-FR"/>
        </w:rPr>
        <w:t xml:space="preserve">relata </w:t>
      </w:r>
      <w:r w:rsidR="00997935" w:rsidRPr="007772C4">
        <w:rPr>
          <w:lang w:val="fr-FR"/>
        </w:rPr>
        <w:t>au tribunal le déroulement de la reconnaissance photographique</w:t>
      </w:r>
      <w:r w:rsidR="000827FC" w:rsidRPr="007772C4">
        <w:rPr>
          <w:lang w:val="fr-FR"/>
        </w:rPr>
        <w:t>. L.D. fut également entendu. Il</w:t>
      </w:r>
      <w:r w:rsidR="009119DD" w:rsidRPr="007772C4">
        <w:rPr>
          <w:lang w:val="fr-FR"/>
        </w:rPr>
        <w:t xml:space="preserve"> déclara qu</w:t>
      </w:r>
      <w:r w:rsidR="007772C4" w:rsidRPr="007772C4">
        <w:rPr>
          <w:lang w:val="fr-FR"/>
        </w:rPr>
        <w:t>’</w:t>
      </w:r>
      <w:r w:rsidR="009119DD" w:rsidRPr="007772C4">
        <w:rPr>
          <w:lang w:val="fr-FR"/>
        </w:rPr>
        <w:t xml:space="preserve">il ne connaissait pas la personne </w:t>
      </w:r>
      <w:r w:rsidR="000749F4" w:rsidRPr="007772C4">
        <w:rPr>
          <w:lang w:val="fr-FR"/>
        </w:rPr>
        <w:t>l</w:t>
      </w:r>
      <w:r w:rsidR="007772C4" w:rsidRPr="007772C4">
        <w:rPr>
          <w:lang w:val="fr-FR"/>
        </w:rPr>
        <w:t>’</w:t>
      </w:r>
      <w:r w:rsidR="000749F4" w:rsidRPr="007772C4">
        <w:rPr>
          <w:lang w:val="fr-FR"/>
        </w:rPr>
        <w:t>ayant</w:t>
      </w:r>
      <w:r w:rsidR="009119DD" w:rsidRPr="007772C4">
        <w:rPr>
          <w:lang w:val="fr-FR"/>
        </w:rPr>
        <w:t xml:space="preserve"> accusé. L</w:t>
      </w:r>
      <w:r w:rsidR="007772C4" w:rsidRPr="007772C4">
        <w:rPr>
          <w:lang w:val="fr-FR"/>
        </w:rPr>
        <w:t>’</w:t>
      </w:r>
      <w:r w:rsidR="009119DD" w:rsidRPr="007772C4">
        <w:rPr>
          <w:lang w:val="fr-FR"/>
        </w:rPr>
        <w:t>audience devait être consacrée, entre autres, à l</w:t>
      </w:r>
      <w:r w:rsidR="007772C4" w:rsidRPr="007772C4">
        <w:rPr>
          <w:lang w:val="fr-FR"/>
        </w:rPr>
        <w:t>’</w:t>
      </w:r>
      <w:r w:rsidR="009119DD" w:rsidRPr="007772C4">
        <w:rPr>
          <w:lang w:val="fr-FR"/>
        </w:rPr>
        <w:t xml:space="preserve">audition de C.C. </w:t>
      </w:r>
      <w:r w:rsidR="00714523" w:rsidRPr="007772C4">
        <w:rPr>
          <w:lang w:val="fr-FR"/>
        </w:rPr>
        <w:t>Le</w:t>
      </w:r>
      <w:r w:rsidR="009119DD" w:rsidRPr="007772C4">
        <w:rPr>
          <w:lang w:val="fr-FR"/>
        </w:rPr>
        <w:t xml:space="preserve"> procureur </w:t>
      </w:r>
      <w:r w:rsidR="000F6B11" w:rsidRPr="007772C4">
        <w:rPr>
          <w:lang w:val="fr-FR"/>
        </w:rPr>
        <w:t>informa</w:t>
      </w:r>
      <w:r w:rsidR="009119DD" w:rsidRPr="007772C4">
        <w:rPr>
          <w:lang w:val="fr-FR"/>
        </w:rPr>
        <w:t xml:space="preserve"> le tribunal </w:t>
      </w:r>
      <w:r w:rsidR="000749F4" w:rsidRPr="007772C4">
        <w:rPr>
          <w:lang w:val="fr-FR"/>
        </w:rPr>
        <w:t xml:space="preserve">que </w:t>
      </w:r>
      <w:r w:rsidR="00A16887" w:rsidRPr="007772C4">
        <w:rPr>
          <w:lang w:val="fr-FR"/>
        </w:rPr>
        <w:t>celui-ci</w:t>
      </w:r>
      <w:r w:rsidR="000749F4" w:rsidRPr="007772C4">
        <w:rPr>
          <w:lang w:val="fr-FR"/>
        </w:rPr>
        <w:t xml:space="preserve"> avait quitté</w:t>
      </w:r>
      <w:r w:rsidR="000F6B11" w:rsidRPr="007772C4">
        <w:rPr>
          <w:lang w:val="fr-FR"/>
        </w:rPr>
        <w:t xml:space="preserve"> </w:t>
      </w:r>
      <w:r w:rsidR="000749F4" w:rsidRPr="007772C4">
        <w:rPr>
          <w:lang w:val="fr-FR"/>
        </w:rPr>
        <w:t xml:space="preserve">le domicile familial </w:t>
      </w:r>
      <w:r w:rsidR="000F6B11" w:rsidRPr="007772C4">
        <w:rPr>
          <w:lang w:val="fr-FR"/>
        </w:rPr>
        <w:t>depuis l</w:t>
      </w:r>
      <w:r w:rsidR="007772C4" w:rsidRPr="007772C4">
        <w:rPr>
          <w:lang w:val="fr-FR"/>
        </w:rPr>
        <w:t>’</w:t>
      </w:r>
      <w:r w:rsidR="000F6B11" w:rsidRPr="007772C4">
        <w:rPr>
          <w:lang w:val="fr-FR"/>
        </w:rPr>
        <w:t>an</w:t>
      </w:r>
      <w:r w:rsidR="005B24AE" w:rsidRPr="007772C4">
        <w:rPr>
          <w:lang w:val="fr-FR"/>
        </w:rPr>
        <w:t>née</w:t>
      </w:r>
      <w:r w:rsidR="000F6B11" w:rsidRPr="007772C4">
        <w:rPr>
          <w:lang w:val="fr-FR"/>
        </w:rPr>
        <w:t xml:space="preserve"> 2000</w:t>
      </w:r>
      <w:r w:rsidR="000749F4" w:rsidRPr="007772C4">
        <w:rPr>
          <w:lang w:val="fr-FR"/>
        </w:rPr>
        <w:t xml:space="preserve"> et qu</w:t>
      </w:r>
      <w:r w:rsidR="007772C4" w:rsidRPr="007772C4">
        <w:rPr>
          <w:lang w:val="fr-FR"/>
        </w:rPr>
        <w:t>’</w:t>
      </w:r>
      <w:r w:rsidR="000749F4" w:rsidRPr="007772C4">
        <w:rPr>
          <w:lang w:val="fr-FR"/>
        </w:rPr>
        <w:t xml:space="preserve">il était depuis lors introuvable. </w:t>
      </w:r>
      <w:r w:rsidR="00AF0579" w:rsidRPr="007772C4">
        <w:rPr>
          <w:lang w:val="fr-FR"/>
        </w:rPr>
        <w:t>Il indiqua également qu</w:t>
      </w:r>
      <w:r w:rsidR="007772C4" w:rsidRPr="007772C4">
        <w:rPr>
          <w:lang w:val="fr-FR"/>
        </w:rPr>
        <w:t>’</w:t>
      </w:r>
      <w:r w:rsidR="00AF0579" w:rsidRPr="007772C4">
        <w:rPr>
          <w:lang w:val="fr-FR"/>
        </w:rPr>
        <w:t xml:space="preserve">un </w:t>
      </w:r>
      <w:r w:rsidR="004A4062" w:rsidRPr="007772C4">
        <w:rPr>
          <w:lang w:val="fr-FR"/>
        </w:rPr>
        <w:t>mandat d</w:t>
      </w:r>
      <w:r w:rsidR="007772C4" w:rsidRPr="007772C4">
        <w:rPr>
          <w:lang w:val="fr-FR"/>
        </w:rPr>
        <w:t>’</w:t>
      </w:r>
      <w:r w:rsidR="004A4062" w:rsidRPr="007772C4">
        <w:rPr>
          <w:lang w:val="fr-FR"/>
        </w:rPr>
        <w:t xml:space="preserve">arrêt </w:t>
      </w:r>
      <w:r w:rsidR="00714523" w:rsidRPr="007772C4">
        <w:rPr>
          <w:lang w:val="fr-FR"/>
        </w:rPr>
        <w:t xml:space="preserve">avait été décerné </w:t>
      </w:r>
      <w:r w:rsidR="004A4062" w:rsidRPr="007772C4">
        <w:rPr>
          <w:lang w:val="fr-FR"/>
        </w:rPr>
        <w:t xml:space="preserve">à </w:t>
      </w:r>
      <w:r w:rsidR="00A16887" w:rsidRPr="007772C4">
        <w:rPr>
          <w:lang w:val="fr-FR"/>
        </w:rPr>
        <w:t>l</w:t>
      </w:r>
      <w:r w:rsidR="007772C4" w:rsidRPr="007772C4">
        <w:rPr>
          <w:lang w:val="fr-FR"/>
        </w:rPr>
        <w:t>’</w:t>
      </w:r>
      <w:r w:rsidR="004A4062" w:rsidRPr="007772C4">
        <w:rPr>
          <w:lang w:val="fr-FR"/>
        </w:rPr>
        <w:t xml:space="preserve">encontre </w:t>
      </w:r>
      <w:r w:rsidR="00A16887" w:rsidRPr="007772C4">
        <w:rPr>
          <w:lang w:val="fr-FR"/>
        </w:rPr>
        <w:t xml:space="preserve">de </w:t>
      </w:r>
      <w:r w:rsidR="00AF795D" w:rsidRPr="007772C4">
        <w:rPr>
          <w:lang w:val="fr-FR"/>
        </w:rPr>
        <w:t>C.C.</w:t>
      </w:r>
      <w:r w:rsidR="00A16887" w:rsidRPr="007772C4">
        <w:rPr>
          <w:lang w:val="fr-FR"/>
        </w:rPr>
        <w:t xml:space="preserve"> </w:t>
      </w:r>
      <w:r w:rsidR="00714523" w:rsidRPr="007772C4">
        <w:rPr>
          <w:lang w:val="fr-FR"/>
        </w:rPr>
        <w:t>à la suite de sa</w:t>
      </w:r>
      <w:r w:rsidR="00C2731A" w:rsidRPr="007772C4">
        <w:rPr>
          <w:lang w:val="fr-FR"/>
        </w:rPr>
        <w:t xml:space="preserve"> condamnation </w:t>
      </w:r>
      <w:r w:rsidR="00714523" w:rsidRPr="007772C4">
        <w:rPr>
          <w:lang w:val="fr-FR"/>
        </w:rPr>
        <w:t>dans le cadre d</w:t>
      </w:r>
      <w:r w:rsidR="007772C4" w:rsidRPr="007772C4">
        <w:rPr>
          <w:lang w:val="fr-FR"/>
        </w:rPr>
        <w:t>’</w:t>
      </w:r>
      <w:r w:rsidR="00714523" w:rsidRPr="007772C4">
        <w:rPr>
          <w:lang w:val="fr-FR"/>
        </w:rPr>
        <w:t>une autre procédure pénale</w:t>
      </w:r>
      <w:r w:rsidR="00C2731A" w:rsidRPr="007772C4">
        <w:rPr>
          <w:lang w:val="fr-FR"/>
        </w:rPr>
        <w:t>.</w:t>
      </w:r>
    </w:p>
    <w:p w:rsidR="009119DD" w:rsidRPr="007772C4" w:rsidRDefault="000F6B11" w:rsidP="007772C4">
      <w:pPr>
        <w:pStyle w:val="ECHRPara"/>
        <w:rPr>
          <w:lang w:val="fr-FR"/>
        </w:rPr>
      </w:pPr>
      <w:r w:rsidRPr="007772C4">
        <w:rPr>
          <w:lang w:val="fr-FR"/>
        </w:rPr>
        <w:lastRenderedPageBreak/>
        <w:fldChar w:fldCharType="begin"/>
      </w:r>
      <w:r w:rsidRPr="007772C4">
        <w:rPr>
          <w:lang w:val="fr-FR"/>
        </w:rPr>
        <w:instrText xml:space="preserve"> SEQ level0 \*arabic </w:instrText>
      </w:r>
      <w:r w:rsidRPr="007772C4">
        <w:rPr>
          <w:lang w:val="fr-FR"/>
        </w:rPr>
        <w:fldChar w:fldCharType="separate"/>
      </w:r>
      <w:r w:rsidR="007772C4" w:rsidRPr="007772C4">
        <w:rPr>
          <w:noProof/>
          <w:lang w:val="fr-FR"/>
        </w:rPr>
        <w:t>15</w:t>
      </w:r>
      <w:r w:rsidRPr="007772C4">
        <w:rPr>
          <w:lang w:val="fr-FR"/>
        </w:rPr>
        <w:fldChar w:fldCharType="end"/>
      </w:r>
      <w:r w:rsidRPr="007772C4">
        <w:rPr>
          <w:lang w:val="fr-FR"/>
        </w:rPr>
        <w:t>.  </w:t>
      </w:r>
      <w:r w:rsidR="00292518" w:rsidRPr="007772C4">
        <w:rPr>
          <w:lang w:val="fr-FR"/>
        </w:rPr>
        <w:t>S</w:t>
      </w:r>
      <w:r w:rsidR="007772C4" w:rsidRPr="007772C4">
        <w:rPr>
          <w:lang w:val="fr-FR"/>
        </w:rPr>
        <w:t>’</w:t>
      </w:r>
      <w:r w:rsidR="009119DD" w:rsidRPr="007772C4">
        <w:rPr>
          <w:lang w:val="fr-FR"/>
        </w:rPr>
        <w:t>appuyant sur l</w:t>
      </w:r>
      <w:r w:rsidR="007772C4" w:rsidRPr="007772C4">
        <w:rPr>
          <w:lang w:val="fr-FR"/>
        </w:rPr>
        <w:t>’</w:t>
      </w:r>
      <w:r w:rsidR="009119DD" w:rsidRPr="007772C4">
        <w:rPr>
          <w:lang w:val="fr-FR"/>
        </w:rPr>
        <w:t>article 512 du code de procédure pénale (CPP</w:t>
      </w:r>
      <w:r w:rsidR="006D10F0" w:rsidRPr="007772C4">
        <w:rPr>
          <w:lang w:val="fr-FR"/>
        </w:rPr>
        <w:t>)</w:t>
      </w:r>
      <w:r w:rsidR="00C711EA" w:rsidRPr="007772C4">
        <w:rPr>
          <w:lang w:val="fr-FR"/>
        </w:rPr>
        <w:t>,</w:t>
      </w:r>
      <w:r w:rsidR="009119DD" w:rsidRPr="007772C4">
        <w:rPr>
          <w:lang w:val="fr-FR"/>
        </w:rPr>
        <w:t xml:space="preserve"> </w:t>
      </w:r>
      <w:r w:rsidR="00292518" w:rsidRPr="007772C4">
        <w:rPr>
          <w:lang w:val="fr-FR"/>
        </w:rPr>
        <w:t xml:space="preserve">le tribunal </w:t>
      </w:r>
      <w:r w:rsidR="009119DD" w:rsidRPr="007772C4">
        <w:rPr>
          <w:lang w:val="fr-FR"/>
        </w:rPr>
        <w:t xml:space="preserve">ordonna </w:t>
      </w:r>
      <w:r w:rsidR="004A4062" w:rsidRPr="007772C4">
        <w:rPr>
          <w:lang w:val="fr-FR"/>
        </w:rPr>
        <w:t>que</w:t>
      </w:r>
      <w:r w:rsidR="009119DD" w:rsidRPr="007772C4">
        <w:rPr>
          <w:lang w:val="fr-FR"/>
        </w:rPr>
        <w:t xml:space="preserve"> la déposition faite </w:t>
      </w:r>
      <w:r w:rsidR="00C711EA" w:rsidRPr="007772C4">
        <w:rPr>
          <w:lang w:val="fr-FR"/>
        </w:rPr>
        <w:t xml:space="preserve">par C.C. </w:t>
      </w:r>
      <w:r w:rsidR="009119DD" w:rsidRPr="007772C4">
        <w:rPr>
          <w:lang w:val="fr-FR"/>
        </w:rPr>
        <w:t xml:space="preserve">aux carabiniers </w:t>
      </w:r>
      <w:r w:rsidR="007772C4" w:rsidRPr="007772C4">
        <w:rPr>
          <w:lang w:val="fr-FR"/>
        </w:rPr>
        <w:t xml:space="preserve">le 3 juin </w:t>
      </w:r>
      <w:r w:rsidRPr="007772C4">
        <w:rPr>
          <w:lang w:val="fr-FR"/>
        </w:rPr>
        <w:t>1996</w:t>
      </w:r>
      <w:r w:rsidR="009119DD" w:rsidRPr="007772C4">
        <w:rPr>
          <w:lang w:val="fr-FR"/>
        </w:rPr>
        <w:t xml:space="preserve"> (paragraphe </w:t>
      </w:r>
      <w:r w:rsidR="004A4062" w:rsidRPr="007772C4">
        <w:rPr>
          <w:lang w:val="fr-FR"/>
        </w:rPr>
        <w:fldChar w:fldCharType="begin"/>
      </w:r>
      <w:r w:rsidR="004A4062" w:rsidRPr="007772C4">
        <w:rPr>
          <w:lang w:val="fr-FR"/>
        </w:rPr>
        <w:instrText xml:space="preserve"> REF pa5 \h </w:instrText>
      </w:r>
      <w:r w:rsidR="00F34FBC" w:rsidRPr="007772C4">
        <w:rPr>
          <w:lang w:val="fr-FR"/>
        </w:rPr>
        <w:instrText xml:space="preserve"> \* MERGEFORMAT </w:instrText>
      </w:r>
      <w:r w:rsidR="004A4062" w:rsidRPr="007772C4">
        <w:rPr>
          <w:lang w:val="fr-FR"/>
        </w:rPr>
      </w:r>
      <w:r w:rsidR="004A4062" w:rsidRPr="007772C4">
        <w:rPr>
          <w:lang w:val="fr-FR"/>
        </w:rPr>
        <w:fldChar w:fldCharType="separate"/>
      </w:r>
      <w:r w:rsidR="007772C4" w:rsidRPr="007772C4">
        <w:rPr>
          <w:noProof/>
          <w:lang w:val="fr-FR"/>
        </w:rPr>
        <w:t>5</w:t>
      </w:r>
      <w:r w:rsidR="004A4062" w:rsidRPr="007772C4">
        <w:rPr>
          <w:lang w:val="fr-FR"/>
        </w:rPr>
        <w:fldChar w:fldCharType="end"/>
      </w:r>
      <w:r w:rsidR="004A4062" w:rsidRPr="007772C4">
        <w:rPr>
          <w:lang w:val="fr-FR"/>
        </w:rPr>
        <w:t xml:space="preserve"> ci-dessus)</w:t>
      </w:r>
      <w:r w:rsidR="009119DD" w:rsidRPr="007772C4">
        <w:rPr>
          <w:lang w:val="fr-FR"/>
        </w:rPr>
        <w:t xml:space="preserve"> </w:t>
      </w:r>
      <w:r w:rsidR="005B24AE" w:rsidRPr="007772C4">
        <w:rPr>
          <w:lang w:val="fr-FR"/>
        </w:rPr>
        <w:t xml:space="preserve">fût </w:t>
      </w:r>
      <w:r w:rsidR="00C711EA" w:rsidRPr="007772C4">
        <w:rPr>
          <w:lang w:val="fr-FR"/>
        </w:rPr>
        <w:t xml:space="preserve">versée </w:t>
      </w:r>
      <w:r w:rsidR="009119DD" w:rsidRPr="007772C4">
        <w:rPr>
          <w:lang w:val="fr-FR"/>
        </w:rPr>
        <w:t xml:space="preserve">au dossier du juge </w:t>
      </w:r>
      <w:r w:rsidR="00714523" w:rsidRPr="007772C4">
        <w:rPr>
          <w:lang w:val="fr-FR"/>
        </w:rPr>
        <w:t xml:space="preserve">et admise à titre de preuve </w:t>
      </w:r>
      <w:r w:rsidR="009119DD" w:rsidRPr="007772C4">
        <w:rPr>
          <w:lang w:val="fr-FR"/>
        </w:rPr>
        <w:t>(</w:t>
      </w:r>
      <w:proofErr w:type="spellStart"/>
      <w:r w:rsidR="009119DD" w:rsidRPr="007772C4">
        <w:rPr>
          <w:i/>
          <w:lang w:val="fr-FR"/>
        </w:rPr>
        <w:t>fascicolo</w:t>
      </w:r>
      <w:proofErr w:type="spellEnd"/>
      <w:r w:rsidR="009119DD" w:rsidRPr="007772C4">
        <w:rPr>
          <w:i/>
          <w:lang w:val="fr-FR"/>
        </w:rPr>
        <w:t xml:space="preserve"> per il </w:t>
      </w:r>
      <w:proofErr w:type="spellStart"/>
      <w:r w:rsidR="009119DD" w:rsidRPr="007772C4">
        <w:rPr>
          <w:i/>
          <w:lang w:val="fr-FR"/>
        </w:rPr>
        <w:t>dibattimento</w:t>
      </w:r>
      <w:proofErr w:type="spellEnd"/>
      <w:r w:rsidR="009119DD" w:rsidRPr="007772C4">
        <w:rPr>
          <w:lang w:val="fr-FR"/>
        </w:rPr>
        <w:t>)</w:t>
      </w:r>
      <w:r w:rsidR="00714523" w:rsidRPr="007772C4">
        <w:rPr>
          <w:lang w:val="fr-FR"/>
        </w:rPr>
        <w:t>,</w:t>
      </w:r>
      <w:r w:rsidR="00C711EA" w:rsidRPr="007772C4">
        <w:rPr>
          <w:lang w:val="fr-FR"/>
        </w:rPr>
        <w:t xml:space="preserve"> et ce en dépit </w:t>
      </w:r>
      <w:r w:rsidR="00191216" w:rsidRPr="007772C4">
        <w:rPr>
          <w:lang w:val="fr-FR"/>
        </w:rPr>
        <w:t>de la</w:t>
      </w:r>
      <w:r w:rsidR="00C711EA" w:rsidRPr="007772C4">
        <w:rPr>
          <w:lang w:val="fr-FR"/>
        </w:rPr>
        <w:t xml:space="preserve"> demand</w:t>
      </w:r>
      <w:r w:rsidR="00064A95" w:rsidRPr="007772C4">
        <w:rPr>
          <w:lang w:val="fr-FR"/>
        </w:rPr>
        <w:t>e</w:t>
      </w:r>
      <w:r w:rsidR="00C711EA" w:rsidRPr="007772C4">
        <w:rPr>
          <w:lang w:val="fr-FR"/>
        </w:rPr>
        <w:t xml:space="preserve"> </w:t>
      </w:r>
      <w:r w:rsidR="00191216" w:rsidRPr="007772C4">
        <w:rPr>
          <w:lang w:val="fr-FR"/>
        </w:rPr>
        <w:t>de la défense de réaliser</w:t>
      </w:r>
      <w:r w:rsidR="00C711EA" w:rsidRPr="007772C4">
        <w:rPr>
          <w:lang w:val="fr-FR"/>
        </w:rPr>
        <w:t xml:space="preserve"> d</w:t>
      </w:r>
      <w:r w:rsidR="00714523" w:rsidRPr="007772C4">
        <w:rPr>
          <w:lang w:val="fr-FR"/>
        </w:rPr>
        <w:t>e</w:t>
      </w:r>
      <w:r w:rsidR="00064A95" w:rsidRPr="007772C4">
        <w:rPr>
          <w:lang w:val="fr-FR"/>
        </w:rPr>
        <w:t>s</w:t>
      </w:r>
      <w:r w:rsidR="00C711EA" w:rsidRPr="007772C4">
        <w:rPr>
          <w:lang w:val="fr-FR"/>
        </w:rPr>
        <w:t xml:space="preserve"> recherches</w:t>
      </w:r>
      <w:r w:rsidR="00D7428E" w:rsidRPr="007772C4">
        <w:rPr>
          <w:lang w:val="fr-FR"/>
        </w:rPr>
        <w:t xml:space="preserve"> </w:t>
      </w:r>
      <w:r w:rsidR="00714523" w:rsidRPr="007772C4">
        <w:rPr>
          <w:lang w:val="fr-FR"/>
        </w:rPr>
        <w:t>supplémentaires</w:t>
      </w:r>
      <w:r w:rsidR="00C711EA" w:rsidRPr="007772C4">
        <w:rPr>
          <w:lang w:val="fr-FR"/>
        </w:rPr>
        <w:t>.</w:t>
      </w:r>
    </w:p>
    <w:p w:rsidR="000F6B11" w:rsidRPr="007772C4" w:rsidRDefault="000F6B11" w:rsidP="007772C4">
      <w:pPr>
        <w:pStyle w:val="ECHRPara"/>
        <w:rPr>
          <w:lang w:val="fr-FR"/>
        </w:rPr>
      </w:pPr>
      <w:r w:rsidRPr="007772C4">
        <w:rPr>
          <w:lang w:val="fr-FR"/>
        </w:rPr>
        <w:fldChar w:fldCharType="begin"/>
      </w:r>
      <w:r w:rsidRPr="007772C4">
        <w:rPr>
          <w:lang w:val="fr-FR"/>
        </w:rPr>
        <w:instrText xml:space="preserve"> SEQ level0 \*arabic </w:instrText>
      </w:r>
      <w:r w:rsidRPr="007772C4">
        <w:rPr>
          <w:lang w:val="fr-FR"/>
        </w:rPr>
        <w:fldChar w:fldCharType="separate"/>
      </w:r>
      <w:r w:rsidR="007772C4" w:rsidRPr="007772C4">
        <w:rPr>
          <w:noProof/>
          <w:lang w:val="fr-FR"/>
        </w:rPr>
        <w:t>16</w:t>
      </w:r>
      <w:r w:rsidRPr="007772C4">
        <w:rPr>
          <w:lang w:val="fr-FR"/>
        </w:rPr>
        <w:fldChar w:fldCharType="end"/>
      </w:r>
      <w:r w:rsidR="004A4062" w:rsidRPr="007772C4">
        <w:rPr>
          <w:lang w:val="fr-FR"/>
        </w:rPr>
        <w:t>.  Par un jugement</w:t>
      </w:r>
      <w:r w:rsidRPr="007772C4">
        <w:rPr>
          <w:lang w:val="fr-FR"/>
        </w:rPr>
        <w:t xml:space="preserve"> du 11 avril 2005, le tribunal </w:t>
      </w:r>
      <w:r w:rsidR="005D5EBF" w:rsidRPr="007772C4">
        <w:rPr>
          <w:lang w:val="fr-FR"/>
        </w:rPr>
        <w:t>condamna</w:t>
      </w:r>
      <w:r w:rsidR="00D000FA" w:rsidRPr="007772C4">
        <w:rPr>
          <w:lang w:val="fr-FR"/>
        </w:rPr>
        <w:t xml:space="preserve"> le requérant et L</w:t>
      </w:r>
      <w:r w:rsidR="004523D7" w:rsidRPr="007772C4">
        <w:rPr>
          <w:lang w:val="fr-FR"/>
        </w:rPr>
        <w:t>.D</w:t>
      </w:r>
      <w:r w:rsidR="00D7428E" w:rsidRPr="007772C4">
        <w:rPr>
          <w:lang w:val="fr-FR"/>
        </w:rPr>
        <w:t>.</w:t>
      </w:r>
      <w:r w:rsidR="004523D7" w:rsidRPr="007772C4">
        <w:rPr>
          <w:lang w:val="fr-FR"/>
        </w:rPr>
        <w:t xml:space="preserve"> à un an et quatre mois d</w:t>
      </w:r>
      <w:r w:rsidR="007772C4" w:rsidRPr="007772C4">
        <w:rPr>
          <w:lang w:val="fr-FR"/>
        </w:rPr>
        <w:t>’</w:t>
      </w:r>
      <w:r w:rsidR="004523D7" w:rsidRPr="007772C4">
        <w:rPr>
          <w:lang w:val="fr-FR"/>
        </w:rPr>
        <w:t xml:space="preserve">emprisonnement. </w:t>
      </w:r>
      <w:r w:rsidR="00D7428E" w:rsidRPr="007772C4">
        <w:rPr>
          <w:lang w:val="fr-FR"/>
        </w:rPr>
        <w:t>Il</w:t>
      </w:r>
      <w:r w:rsidR="004523D7" w:rsidRPr="007772C4">
        <w:rPr>
          <w:lang w:val="fr-FR"/>
        </w:rPr>
        <w:t xml:space="preserve"> considéra que </w:t>
      </w:r>
      <w:r w:rsidR="00DB6FDA" w:rsidRPr="007772C4">
        <w:rPr>
          <w:lang w:val="fr-FR"/>
        </w:rPr>
        <w:t xml:space="preserve">la déposition précise et circonstanciée faite par C.C. auprès des carabiniers était suffisante pour </w:t>
      </w:r>
      <w:r w:rsidR="005B24AE" w:rsidRPr="007772C4">
        <w:rPr>
          <w:lang w:val="fr-FR"/>
        </w:rPr>
        <w:t>l</w:t>
      </w:r>
      <w:r w:rsidR="007772C4" w:rsidRPr="007772C4">
        <w:rPr>
          <w:lang w:val="fr-FR"/>
        </w:rPr>
        <w:t>’</w:t>
      </w:r>
      <w:r w:rsidR="00DB6FDA" w:rsidRPr="007772C4">
        <w:rPr>
          <w:lang w:val="fr-FR"/>
        </w:rPr>
        <w:t>établi</w:t>
      </w:r>
      <w:r w:rsidR="005B24AE" w:rsidRPr="007772C4">
        <w:rPr>
          <w:lang w:val="fr-FR"/>
        </w:rPr>
        <w:t>ssement de</w:t>
      </w:r>
      <w:r w:rsidR="00DB6FDA" w:rsidRPr="007772C4">
        <w:rPr>
          <w:lang w:val="fr-FR"/>
        </w:rPr>
        <w:t xml:space="preserve"> </w:t>
      </w:r>
      <w:r w:rsidR="004523D7" w:rsidRPr="007772C4">
        <w:rPr>
          <w:lang w:val="fr-FR"/>
        </w:rPr>
        <w:t xml:space="preserve">la culpabilité </w:t>
      </w:r>
      <w:r w:rsidR="00714523" w:rsidRPr="007772C4">
        <w:rPr>
          <w:lang w:val="fr-FR"/>
        </w:rPr>
        <w:t>d</w:t>
      </w:r>
      <w:r w:rsidR="008B74DA" w:rsidRPr="007772C4">
        <w:rPr>
          <w:lang w:val="fr-FR"/>
        </w:rPr>
        <w:t>u requérant et de L.D.</w:t>
      </w:r>
    </w:p>
    <w:bookmarkStart w:id="6" w:name="par17"/>
    <w:p w:rsidR="005D5EBF" w:rsidRPr="007772C4" w:rsidRDefault="004523D7" w:rsidP="007772C4">
      <w:pPr>
        <w:pStyle w:val="ECHRPara"/>
        <w:rPr>
          <w:lang w:val="fr-FR"/>
        </w:rPr>
      </w:pPr>
      <w:r w:rsidRPr="007772C4">
        <w:rPr>
          <w:lang w:val="fr-FR"/>
        </w:rPr>
        <w:fldChar w:fldCharType="begin"/>
      </w:r>
      <w:r w:rsidRPr="007772C4">
        <w:rPr>
          <w:lang w:val="fr-FR"/>
        </w:rPr>
        <w:instrText xml:space="preserve"> SEQ level0 \*arabic </w:instrText>
      </w:r>
      <w:r w:rsidRPr="007772C4">
        <w:rPr>
          <w:lang w:val="fr-FR"/>
        </w:rPr>
        <w:fldChar w:fldCharType="separate"/>
      </w:r>
      <w:r w:rsidR="007772C4" w:rsidRPr="007772C4">
        <w:rPr>
          <w:noProof/>
          <w:lang w:val="fr-FR"/>
        </w:rPr>
        <w:t>17</w:t>
      </w:r>
      <w:r w:rsidRPr="007772C4">
        <w:rPr>
          <w:lang w:val="fr-FR"/>
        </w:rPr>
        <w:fldChar w:fldCharType="end"/>
      </w:r>
      <w:bookmarkEnd w:id="6"/>
      <w:r w:rsidRPr="007772C4">
        <w:rPr>
          <w:lang w:val="fr-FR"/>
        </w:rPr>
        <w:t>.  </w:t>
      </w:r>
      <w:r w:rsidR="00377AC7" w:rsidRPr="007772C4">
        <w:rPr>
          <w:lang w:val="fr-FR"/>
        </w:rPr>
        <w:t>Il</w:t>
      </w:r>
      <w:r w:rsidRPr="007772C4">
        <w:rPr>
          <w:lang w:val="fr-FR"/>
        </w:rPr>
        <w:t xml:space="preserve"> précisa que la circonstance qu</w:t>
      </w:r>
      <w:r w:rsidR="007772C4" w:rsidRPr="007772C4">
        <w:rPr>
          <w:lang w:val="fr-FR"/>
        </w:rPr>
        <w:t>’</w:t>
      </w:r>
      <w:r w:rsidRPr="007772C4">
        <w:rPr>
          <w:lang w:val="fr-FR"/>
        </w:rPr>
        <w:t xml:space="preserve">un témoin </w:t>
      </w:r>
      <w:r w:rsidR="0025168A" w:rsidRPr="007772C4">
        <w:rPr>
          <w:lang w:val="fr-FR"/>
        </w:rPr>
        <w:t>était devenu</w:t>
      </w:r>
      <w:r w:rsidRPr="007772C4">
        <w:rPr>
          <w:lang w:val="fr-FR"/>
        </w:rPr>
        <w:t xml:space="preserve"> introuvable s</w:t>
      </w:r>
      <w:r w:rsidR="007772C4" w:rsidRPr="007772C4">
        <w:rPr>
          <w:lang w:val="fr-FR"/>
        </w:rPr>
        <w:t>’</w:t>
      </w:r>
      <w:r w:rsidRPr="007772C4">
        <w:rPr>
          <w:lang w:val="fr-FR"/>
        </w:rPr>
        <w:t xml:space="preserve">analysait en une </w:t>
      </w:r>
      <w:r w:rsidR="001F281E" w:rsidRPr="007772C4">
        <w:rPr>
          <w:lang w:val="fr-FR"/>
        </w:rPr>
        <w:t>« </w:t>
      </w:r>
      <w:r w:rsidRPr="007772C4">
        <w:rPr>
          <w:lang w:val="fr-FR"/>
        </w:rPr>
        <w:t>impossibilité objective</w:t>
      </w:r>
      <w:r w:rsidR="001F281E" w:rsidRPr="007772C4">
        <w:rPr>
          <w:lang w:val="fr-FR"/>
        </w:rPr>
        <w:t> »</w:t>
      </w:r>
      <w:r w:rsidRPr="007772C4">
        <w:rPr>
          <w:lang w:val="fr-FR"/>
        </w:rPr>
        <w:t xml:space="preserve"> de l</w:t>
      </w:r>
      <w:r w:rsidR="007772C4" w:rsidRPr="007772C4">
        <w:rPr>
          <w:lang w:val="fr-FR"/>
        </w:rPr>
        <w:t>’</w:t>
      </w:r>
      <w:r w:rsidRPr="007772C4">
        <w:rPr>
          <w:lang w:val="fr-FR"/>
        </w:rPr>
        <w:t xml:space="preserve">interroger </w:t>
      </w:r>
      <w:r w:rsidR="001F281E" w:rsidRPr="007772C4">
        <w:rPr>
          <w:lang w:val="fr-FR"/>
        </w:rPr>
        <w:t xml:space="preserve">lors des </w:t>
      </w:r>
      <w:r w:rsidRPr="007772C4">
        <w:rPr>
          <w:lang w:val="fr-FR"/>
        </w:rPr>
        <w:t>débats</w:t>
      </w:r>
      <w:r w:rsidR="001F281E" w:rsidRPr="007772C4">
        <w:rPr>
          <w:lang w:val="fr-FR"/>
        </w:rPr>
        <w:t>,</w:t>
      </w:r>
      <w:r w:rsidRPr="007772C4">
        <w:rPr>
          <w:lang w:val="fr-FR"/>
        </w:rPr>
        <w:t xml:space="preserve"> ce qui, </w:t>
      </w:r>
      <w:r w:rsidR="003A5253" w:rsidRPr="007772C4">
        <w:rPr>
          <w:lang w:val="fr-FR"/>
        </w:rPr>
        <w:t>selon</w:t>
      </w:r>
      <w:r w:rsidR="00DF55BE" w:rsidRPr="007772C4">
        <w:rPr>
          <w:lang w:val="fr-FR"/>
        </w:rPr>
        <w:t xml:space="preserve"> l</w:t>
      </w:r>
      <w:r w:rsidR="007772C4" w:rsidRPr="007772C4">
        <w:rPr>
          <w:lang w:val="fr-FR"/>
        </w:rPr>
        <w:t>’</w:t>
      </w:r>
      <w:r w:rsidR="00DF55BE" w:rsidRPr="007772C4">
        <w:rPr>
          <w:lang w:val="fr-FR"/>
        </w:rPr>
        <w:t xml:space="preserve">article 512 du CPP, </w:t>
      </w:r>
      <w:r w:rsidRPr="007772C4">
        <w:rPr>
          <w:lang w:val="fr-FR"/>
        </w:rPr>
        <w:t>lu à la lumière de l</w:t>
      </w:r>
      <w:r w:rsidR="007772C4" w:rsidRPr="007772C4">
        <w:rPr>
          <w:lang w:val="fr-FR"/>
        </w:rPr>
        <w:t>’</w:t>
      </w:r>
      <w:r w:rsidR="00DF55BE" w:rsidRPr="007772C4">
        <w:rPr>
          <w:lang w:val="fr-FR"/>
        </w:rPr>
        <w:t xml:space="preserve">article 111 de la Constitution </w:t>
      </w:r>
      <w:r w:rsidRPr="007772C4">
        <w:rPr>
          <w:lang w:val="fr-FR"/>
        </w:rPr>
        <w:t xml:space="preserve">permettait </w:t>
      </w:r>
      <w:r w:rsidR="00C7548F" w:rsidRPr="007772C4">
        <w:rPr>
          <w:lang w:val="fr-FR"/>
        </w:rPr>
        <w:t xml:space="preserve">selon </w:t>
      </w:r>
      <w:r w:rsidR="0025168A" w:rsidRPr="007772C4">
        <w:rPr>
          <w:lang w:val="fr-FR"/>
        </w:rPr>
        <w:t>le tribunal</w:t>
      </w:r>
      <w:r w:rsidR="00C7548F" w:rsidRPr="007772C4">
        <w:rPr>
          <w:lang w:val="fr-FR"/>
        </w:rPr>
        <w:t xml:space="preserve"> </w:t>
      </w:r>
      <w:r w:rsidRPr="007772C4">
        <w:rPr>
          <w:lang w:val="fr-FR"/>
        </w:rPr>
        <w:t>d</w:t>
      </w:r>
      <w:r w:rsidR="007772C4" w:rsidRPr="007772C4">
        <w:rPr>
          <w:lang w:val="fr-FR"/>
        </w:rPr>
        <w:t>’</w:t>
      </w:r>
      <w:r w:rsidRPr="007772C4">
        <w:rPr>
          <w:lang w:val="fr-FR"/>
        </w:rPr>
        <w:t xml:space="preserve">utiliser </w:t>
      </w:r>
      <w:r w:rsidR="00714523" w:rsidRPr="007772C4">
        <w:rPr>
          <w:lang w:val="fr-FR"/>
        </w:rPr>
        <w:t xml:space="preserve">toute déposition faite avant le procès </w:t>
      </w:r>
      <w:r w:rsidRPr="007772C4">
        <w:rPr>
          <w:lang w:val="fr-FR"/>
        </w:rPr>
        <w:t xml:space="preserve">pour </w:t>
      </w:r>
      <w:r w:rsidR="003A5253" w:rsidRPr="007772C4">
        <w:rPr>
          <w:lang w:val="fr-FR"/>
        </w:rPr>
        <w:t xml:space="preserve">statuer </w:t>
      </w:r>
      <w:r w:rsidRPr="007772C4">
        <w:rPr>
          <w:lang w:val="fr-FR"/>
        </w:rPr>
        <w:t xml:space="preserve">sur le bien-fondé des accusations. </w:t>
      </w:r>
      <w:r w:rsidR="00777CB6" w:rsidRPr="007772C4">
        <w:rPr>
          <w:lang w:val="fr-FR"/>
        </w:rPr>
        <w:t>Il</w:t>
      </w:r>
      <w:r w:rsidRPr="007772C4">
        <w:rPr>
          <w:lang w:val="fr-FR"/>
        </w:rPr>
        <w:t xml:space="preserve"> estima que</w:t>
      </w:r>
      <w:r w:rsidR="009E375E" w:rsidRPr="007772C4">
        <w:rPr>
          <w:lang w:val="fr-FR"/>
        </w:rPr>
        <w:t>, à défaut</w:t>
      </w:r>
      <w:r w:rsidRPr="007772C4">
        <w:rPr>
          <w:lang w:val="fr-FR"/>
        </w:rPr>
        <w:t xml:space="preserve"> </w:t>
      </w:r>
      <w:r w:rsidR="009E375E" w:rsidRPr="007772C4">
        <w:rPr>
          <w:lang w:val="fr-FR"/>
        </w:rPr>
        <w:t>d</w:t>
      </w:r>
      <w:r w:rsidR="007772C4" w:rsidRPr="007772C4">
        <w:rPr>
          <w:lang w:val="fr-FR"/>
        </w:rPr>
        <w:t>’</w:t>
      </w:r>
      <w:r w:rsidR="009E375E" w:rsidRPr="007772C4">
        <w:rPr>
          <w:lang w:val="fr-FR"/>
        </w:rPr>
        <w:t>élément permettant de penser que C.C. s</w:t>
      </w:r>
      <w:r w:rsidR="007772C4" w:rsidRPr="007772C4">
        <w:rPr>
          <w:lang w:val="fr-FR"/>
        </w:rPr>
        <w:t>’</w:t>
      </w:r>
      <w:r w:rsidR="00703267" w:rsidRPr="007772C4">
        <w:rPr>
          <w:lang w:val="fr-FR"/>
        </w:rPr>
        <w:t>était</w:t>
      </w:r>
      <w:r w:rsidR="009E375E" w:rsidRPr="007772C4">
        <w:rPr>
          <w:lang w:val="fr-FR"/>
        </w:rPr>
        <w:t xml:space="preserve"> volontairement soustrait au procès, </w:t>
      </w:r>
      <w:r w:rsidRPr="007772C4">
        <w:rPr>
          <w:lang w:val="fr-FR"/>
        </w:rPr>
        <w:t>l</w:t>
      </w:r>
      <w:r w:rsidR="007772C4" w:rsidRPr="007772C4">
        <w:rPr>
          <w:lang w:val="fr-FR"/>
        </w:rPr>
        <w:t>’</w:t>
      </w:r>
      <w:r w:rsidRPr="007772C4">
        <w:rPr>
          <w:lang w:val="fr-FR"/>
        </w:rPr>
        <w:t xml:space="preserve">absence de </w:t>
      </w:r>
      <w:r w:rsidR="005D6FA6" w:rsidRPr="007772C4">
        <w:rPr>
          <w:lang w:val="fr-FR"/>
        </w:rPr>
        <w:t>celui-ci</w:t>
      </w:r>
      <w:r w:rsidR="00703267" w:rsidRPr="007772C4">
        <w:rPr>
          <w:lang w:val="fr-FR"/>
        </w:rPr>
        <w:t xml:space="preserve"> </w:t>
      </w:r>
      <w:r w:rsidR="005D6FA6" w:rsidRPr="007772C4">
        <w:rPr>
          <w:lang w:val="fr-FR"/>
        </w:rPr>
        <w:t>n</w:t>
      </w:r>
      <w:r w:rsidR="007772C4" w:rsidRPr="007772C4">
        <w:rPr>
          <w:lang w:val="fr-FR"/>
        </w:rPr>
        <w:t>’</w:t>
      </w:r>
      <w:r w:rsidR="005D6FA6" w:rsidRPr="007772C4">
        <w:rPr>
          <w:lang w:val="fr-FR"/>
        </w:rPr>
        <w:t>avait aucun caractère</w:t>
      </w:r>
      <w:r w:rsidRPr="007772C4">
        <w:rPr>
          <w:lang w:val="fr-FR"/>
        </w:rPr>
        <w:t xml:space="preserve"> prévisible</w:t>
      </w:r>
      <w:r w:rsidR="005D5EBF" w:rsidRPr="007772C4">
        <w:rPr>
          <w:lang w:val="fr-FR"/>
        </w:rPr>
        <w:t>.</w:t>
      </w:r>
    </w:p>
    <w:p w:rsidR="005D5EBF" w:rsidRPr="007772C4" w:rsidRDefault="00D000FA" w:rsidP="007772C4">
      <w:pPr>
        <w:pStyle w:val="ECHRPara"/>
        <w:rPr>
          <w:lang w:val="fr-FR"/>
        </w:rPr>
      </w:pPr>
      <w:r w:rsidRPr="007772C4">
        <w:rPr>
          <w:lang w:val="fr-FR"/>
        </w:rPr>
        <w:fldChar w:fldCharType="begin"/>
      </w:r>
      <w:r w:rsidRPr="007772C4">
        <w:rPr>
          <w:lang w:val="fr-FR"/>
        </w:rPr>
        <w:instrText xml:space="preserve"> SEQ level0 \*arabic </w:instrText>
      </w:r>
      <w:r w:rsidRPr="007772C4">
        <w:rPr>
          <w:lang w:val="fr-FR"/>
        </w:rPr>
        <w:fldChar w:fldCharType="separate"/>
      </w:r>
      <w:r w:rsidR="007772C4" w:rsidRPr="007772C4">
        <w:rPr>
          <w:noProof/>
          <w:lang w:val="fr-FR"/>
        </w:rPr>
        <w:t>18</w:t>
      </w:r>
      <w:r w:rsidRPr="007772C4">
        <w:rPr>
          <w:lang w:val="fr-FR"/>
        </w:rPr>
        <w:fldChar w:fldCharType="end"/>
      </w:r>
      <w:r w:rsidRPr="007772C4">
        <w:rPr>
          <w:lang w:val="fr-FR"/>
        </w:rPr>
        <w:t>.  </w:t>
      </w:r>
      <w:r w:rsidR="005B24AE" w:rsidRPr="007772C4">
        <w:rPr>
          <w:lang w:val="fr-FR"/>
        </w:rPr>
        <w:t>Le tribunal considéra</w:t>
      </w:r>
      <w:r w:rsidR="00705F7A" w:rsidRPr="007772C4">
        <w:rPr>
          <w:lang w:val="fr-FR"/>
        </w:rPr>
        <w:t xml:space="preserve"> </w:t>
      </w:r>
      <w:r w:rsidR="0036399B" w:rsidRPr="007772C4">
        <w:rPr>
          <w:lang w:val="fr-FR"/>
        </w:rPr>
        <w:t xml:space="preserve">enfin </w:t>
      </w:r>
      <w:r w:rsidR="00705F7A" w:rsidRPr="007772C4">
        <w:rPr>
          <w:lang w:val="fr-FR"/>
        </w:rPr>
        <w:t xml:space="preserve">que la condamnation du requérant, bien que fondée principalement sur les déclarations de </w:t>
      </w:r>
      <w:r w:rsidRPr="007772C4">
        <w:rPr>
          <w:lang w:val="fr-FR"/>
        </w:rPr>
        <w:t>C.C.</w:t>
      </w:r>
      <w:r w:rsidR="00705F7A" w:rsidRPr="007772C4">
        <w:rPr>
          <w:lang w:val="fr-FR"/>
        </w:rPr>
        <w:t xml:space="preserve">, </w:t>
      </w:r>
      <w:r w:rsidR="005B24AE" w:rsidRPr="007772C4">
        <w:rPr>
          <w:lang w:val="fr-FR"/>
        </w:rPr>
        <w:t>qu</w:t>
      </w:r>
      <w:r w:rsidR="007772C4" w:rsidRPr="007772C4">
        <w:rPr>
          <w:lang w:val="fr-FR"/>
        </w:rPr>
        <w:t>’</w:t>
      </w:r>
      <w:r w:rsidR="005B24AE" w:rsidRPr="007772C4">
        <w:rPr>
          <w:lang w:val="fr-FR"/>
        </w:rPr>
        <w:t xml:space="preserve">il estimait </w:t>
      </w:r>
      <w:r w:rsidR="00705F7A" w:rsidRPr="007772C4">
        <w:rPr>
          <w:lang w:val="fr-FR"/>
        </w:rPr>
        <w:t xml:space="preserve">crédibles et concordantes, </w:t>
      </w:r>
      <w:r w:rsidR="0036399B" w:rsidRPr="007772C4">
        <w:rPr>
          <w:lang w:val="fr-FR"/>
        </w:rPr>
        <w:t>s</w:t>
      </w:r>
      <w:r w:rsidR="007772C4" w:rsidRPr="007772C4">
        <w:rPr>
          <w:lang w:val="fr-FR"/>
        </w:rPr>
        <w:t>’</w:t>
      </w:r>
      <w:r w:rsidR="0036399B" w:rsidRPr="007772C4">
        <w:rPr>
          <w:lang w:val="fr-FR"/>
        </w:rPr>
        <w:t xml:space="preserve">appuyait également sur </w:t>
      </w:r>
      <w:r w:rsidR="00705F7A" w:rsidRPr="007772C4">
        <w:rPr>
          <w:lang w:val="fr-FR"/>
        </w:rPr>
        <w:t>d</w:t>
      </w:r>
      <w:r w:rsidR="007772C4" w:rsidRPr="007772C4">
        <w:rPr>
          <w:lang w:val="fr-FR"/>
        </w:rPr>
        <w:t>’</w:t>
      </w:r>
      <w:r w:rsidR="00705F7A" w:rsidRPr="007772C4">
        <w:rPr>
          <w:lang w:val="fr-FR"/>
        </w:rPr>
        <w:t xml:space="preserve">autres éléments </w:t>
      </w:r>
      <w:r w:rsidR="0036399B" w:rsidRPr="007772C4">
        <w:rPr>
          <w:lang w:val="fr-FR"/>
        </w:rPr>
        <w:t xml:space="preserve">provenant </w:t>
      </w:r>
      <w:r w:rsidR="00705F7A" w:rsidRPr="007772C4">
        <w:rPr>
          <w:lang w:val="fr-FR"/>
        </w:rPr>
        <w:t xml:space="preserve">du témoignage </w:t>
      </w:r>
      <w:r w:rsidRPr="007772C4">
        <w:rPr>
          <w:lang w:val="fr-FR"/>
        </w:rPr>
        <w:t xml:space="preserve">du </w:t>
      </w:r>
      <w:r w:rsidR="004035ED" w:rsidRPr="007772C4">
        <w:rPr>
          <w:lang w:val="fr-FR"/>
        </w:rPr>
        <w:t xml:space="preserve">carabinier </w:t>
      </w:r>
      <w:r w:rsidR="00705F7A" w:rsidRPr="007772C4">
        <w:rPr>
          <w:lang w:val="fr-FR"/>
        </w:rPr>
        <w:t>L.</w:t>
      </w:r>
      <w:r w:rsidR="00C2731A" w:rsidRPr="007772C4">
        <w:rPr>
          <w:lang w:val="fr-FR"/>
        </w:rPr>
        <w:t>R</w:t>
      </w:r>
      <w:r w:rsidR="00850AC1" w:rsidRPr="007772C4">
        <w:rPr>
          <w:lang w:val="fr-FR"/>
        </w:rPr>
        <w:t>,</w:t>
      </w:r>
      <w:r w:rsidR="00BE5DA3" w:rsidRPr="007772C4">
        <w:rPr>
          <w:lang w:val="fr-FR"/>
        </w:rPr>
        <w:t xml:space="preserve"> </w:t>
      </w:r>
      <w:r w:rsidR="00944111" w:rsidRPr="007772C4">
        <w:rPr>
          <w:lang w:val="fr-FR"/>
        </w:rPr>
        <w:t xml:space="preserve">qui </w:t>
      </w:r>
      <w:r w:rsidR="00BE5DA3" w:rsidRPr="007772C4">
        <w:rPr>
          <w:lang w:val="fr-FR"/>
        </w:rPr>
        <w:t>avait relaté le déroulement de la reconnaissance photographique.</w:t>
      </w:r>
    </w:p>
    <w:p w:rsidR="004523D7" w:rsidRPr="007772C4" w:rsidRDefault="005D5EBF" w:rsidP="007772C4">
      <w:pPr>
        <w:pStyle w:val="ECHRPara"/>
        <w:rPr>
          <w:lang w:val="fr-FR"/>
        </w:rPr>
      </w:pPr>
      <w:r w:rsidRPr="007772C4">
        <w:rPr>
          <w:lang w:val="fr-FR"/>
        </w:rPr>
        <w:fldChar w:fldCharType="begin"/>
      </w:r>
      <w:r w:rsidRPr="007772C4">
        <w:rPr>
          <w:lang w:val="fr-FR"/>
        </w:rPr>
        <w:instrText xml:space="preserve"> SEQ level0 \*arabic </w:instrText>
      </w:r>
      <w:r w:rsidRPr="007772C4">
        <w:rPr>
          <w:lang w:val="fr-FR"/>
        </w:rPr>
        <w:fldChar w:fldCharType="separate"/>
      </w:r>
      <w:r w:rsidR="007772C4" w:rsidRPr="007772C4">
        <w:rPr>
          <w:noProof/>
          <w:lang w:val="fr-FR"/>
        </w:rPr>
        <w:t>19</w:t>
      </w:r>
      <w:r w:rsidRPr="007772C4">
        <w:rPr>
          <w:lang w:val="fr-FR"/>
        </w:rPr>
        <w:fldChar w:fldCharType="end"/>
      </w:r>
      <w:r w:rsidRPr="007772C4">
        <w:rPr>
          <w:lang w:val="fr-FR"/>
        </w:rPr>
        <w:t>.  Le requérant interjeta appel de ce jugement. Il contesta l</w:t>
      </w:r>
      <w:r w:rsidR="007772C4" w:rsidRPr="007772C4">
        <w:rPr>
          <w:lang w:val="fr-FR"/>
        </w:rPr>
        <w:t>’</w:t>
      </w:r>
      <w:r w:rsidRPr="007772C4">
        <w:rPr>
          <w:lang w:val="fr-FR"/>
        </w:rPr>
        <w:t>évaluation des preuves à charge et l</w:t>
      </w:r>
      <w:r w:rsidR="007772C4" w:rsidRPr="007772C4">
        <w:rPr>
          <w:lang w:val="fr-FR"/>
        </w:rPr>
        <w:t>’</w:t>
      </w:r>
      <w:r w:rsidRPr="007772C4">
        <w:rPr>
          <w:lang w:val="fr-FR"/>
        </w:rPr>
        <w:t xml:space="preserve">utilisation de la déposition de </w:t>
      </w:r>
      <w:r w:rsidR="00D000FA" w:rsidRPr="007772C4">
        <w:rPr>
          <w:lang w:val="fr-FR"/>
        </w:rPr>
        <w:t>C.C.</w:t>
      </w:r>
      <w:r w:rsidR="005B24AE" w:rsidRPr="007772C4">
        <w:rPr>
          <w:lang w:val="fr-FR"/>
        </w:rPr>
        <w:t>,</w:t>
      </w:r>
      <w:r w:rsidR="006602CE" w:rsidRPr="007772C4">
        <w:rPr>
          <w:lang w:val="fr-FR"/>
        </w:rPr>
        <w:t xml:space="preserve"> qui était selon lui la</w:t>
      </w:r>
      <w:r w:rsidRPr="007772C4">
        <w:rPr>
          <w:lang w:val="fr-FR"/>
        </w:rPr>
        <w:t xml:space="preserve"> seule preuve utilisée par le tribunal. En outre, il reprocha au tribunal de ne pas avoir </w:t>
      </w:r>
      <w:r w:rsidR="008A1B52" w:rsidRPr="007772C4">
        <w:rPr>
          <w:lang w:val="fr-FR"/>
        </w:rPr>
        <w:t>évalué</w:t>
      </w:r>
      <w:r w:rsidRPr="007772C4">
        <w:rPr>
          <w:lang w:val="fr-FR"/>
        </w:rPr>
        <w:t xml:space="preserve"> </w:t>
      </w:r>
      <w:r w:rsidR="009C347B" w:rsidRPr="007772C4">
        <w:rPr>
          <w:lang w:val="fr-FR"/>
        </w:rPr>
        <w:t>attentivement</w:t>
      </w:r>
      <w:r w:rsidRPr="007772C4">
        <w:rPr>
          <w:lang w:val="fr-FR"/>
        </w:rPr>
        <w:t xml:space="preserve"> les déclarations </w:t>
      </w:r>
      <w:r w:rsidR="006602CE" w:rsidRPr="007772C4">
        <w:rPr>
          <w:lang w:val="fr-FR"/>
        </w:rPr>
        <w:t xml:space="preserve">faites par </w:t>
      </w:r>
      <w:r w:rsidRPr="007772C4">
        <w:rPr>
          <w:lang w:val="fr-FR"/>
        </w:rPr>
        <w:t xml:space="preserve">C.C. au moment du </w:t>
      </w:r>
      <w:r w:rsidR="00F615B6" w:rsidRPr="007772C4">
        <w:rPr>
          <w:lang w:val="fr-FR"/>
        </w:rPr>
        <w:t>dépôt</w:t>
      </w:r>
      <w:r w:rsidRPr="007772C4">
        <w:rPr>
          <w:lang w:val="fr-FR"/>
        </w:rPr>
        <w:t xml:space="preserve"> de la plainte.</w:t>
      </w:r>
    </w:p>
    <w:p w:rsidR="005D5EBF" w:rsidRPr="007772C4" w:rsidRDefault="005D5EBF" w:rsidP="007772C4">
      <w:pPr>
        <w:pStyle w:val="ECHRPara"/>
        <w:rPr>
          <w:lang w:val="fr-FR"/>
        </w:rPr>
      </w:pPr>
      <w:r w:rsidRPr="007772C4">
        <w:rPr>
          <w:lang w:val="fr-FR"/>
        </w:rPr>
        <w:fldChar w:fldCharType="begin"/>
      </w:r>
      <w:r w:rsidRPr="007772C4">
        <w:rPr>
          <w:lang w:val="fr-FR"/>
        </w:rPr>
        <w:instrText xml:space="preserve"> SEQ level0 \*arabic </w:instrText>
      </w:r>
      <w:r w:rsidRPr="007772C4">
        <w:rPr>
          <w:lang w:val="fr-FR"/>
        </w:rPr>
        <w:fldChar w:fldCharType="separate"/>
      </w:r>
      <w:r w:rsidR="007772C4" w:rsidRPr="007772C4">
        <w:rPr>
          <w:noProof/>
          <w:lang w:val="fr-FR"/>
        </w:rPr>
        <w:t>20</w:t>
      </w:r>
      <w:r w:rsidRPr="007772C4">
        <w:rPr>
          <w:lang w:val="fr-FR"/>
        </w:rPr>
        <w:fldChar w:fldCharType="end"/>
      </w:r>
      <w:r w:rsidRPr="007772C4">
        <w:rPr>
          <w:lang w:val="fr-FR"/>
        </w:rPr>
        <w:t>.  </w:t>
      </w:r>
      <w:r w:rsidR="008A1B52" w:rsidRPr="007772C4">
        <w:rPr>
          <w:lang w:val="fr-FR"/>
        </w:rPr>
        <w:t>Par un arrêt du 25 mai 2011, la cour d</w:t>
      </w:r>
      <w:r w:rsidR="007772C4" w:rsidRPr="007772C4">
        <w:rPr>
          <w:lang w:val="fr-FR"/>
        </w:rPr>
        <w:t>’</w:t>
      </w:r>
      <w:r w:rsidR="008A1B52" w:rsidRPr="007772C4">
        <w:rPr>
          <w:lang w:val="fr-FR"/>
        </w:rPr>
        <w:t xml:space="preserve">appel de Bari </w:t>
      </w:r>
      <w:r w:rsidR="00746A9E" w:rsidRPr="007772C4">
        <w:rPr>
          <w:lang w:val="fr-FR"/>
        </w:rPr>
        <w:t>(« la cour d</w:t>
      </w:r>
      <w:r w:rsidR="007772C4" w:rsidRPr="007772C4">
        <w:rPr>
          <w:lang w:val="fr-FR"/>
        </w:rPr>
        <w:t>’</w:t>
      </w:r>
      <w:r w:rsidR="00746A9E" w:rsidRPr="007772C4">
        <w:rPr>
          <w:lang w:val="fr-FR"/>
        </w:rPr>
        <w:t xml:space="preserve">appel ») </w:t>
      </w:r>
      <w:r w:rsidR="00142C48" w:rsidRPr="007772C4">
        <w:rPr>
          <w:lang w:val="fr-FR"/>
        </w:rPr>
        <w:t xml:space="preserve">confirma le jugement du tribunal. En </w:t>
      </w:r>
      <w:r w:rsidR="009D6D74" w:rsidRPr="007772C4">
        <w:rPr>
          <w:lang w:val="fr-FR"/>
        </w:rPr>
        <w:t>particulier,</w:t>
      </w:r>
      <w:r w:rsidR="008A1B52" w:rsidRPr="007772C4">
        <w:rPr>
          <w:lang w:val="fr-FR"/>
        </w:rPr>
        <w:t xml:space="preserve"> elle observa que l</w:t>
      </w:r>
      <w:r w:rsidR="007772C4" w:rsidRPr="007772C4">
        <w:rPr>
          <w:lang w:val="fr-FR"/>
        </w:rPr>
        <w:t>’</w:t>
      </w:r>
      <w:r w:rsidR="008A1B52" w:rsidRPr="007772C4">
        <w:rPr>
          <w:lang w:val="fr-FR"/>
        </w:rPr>
        <w:t>absence de C.C</w:t>
      </w:r>
      <w:r w:rsidR="009C347B" w:rsidRPr="007772C4">
        <w:rPr>
          <w:lang w:val="fr-FR"/>
        </w:rPr>
        <w:t>.</w:t>
      </w:r>
      <w:r w:rsidR="009D6D74" w:rsidRPr="007772C4">
        <w:rPr>
          <w:lang w:val="fr-FR"/>
        </w:rPr>
        <w:t xml:space="preserve"> </w:t>
      </w:r>
      <w:r w:rsidR="00E808E4" w:rsidRPr="007772C4">
        <w:rPr>
          <w:lang w:val="fr-FR"/>
        </w:rPr>
        <w:t xml:space="preserve">lors des débats </w:t>
      </w:r>
      <w:r w:rsidR="009D6D74" w:rsidRPr="007772C4">
        <w:rPr>
          <w:lang w:val="fr-FR"/>
        </w:rPr>
        <w:t>n</w:t>
      </w:r>
      <w:r w:rsidR="007772C4" w:rsidRPr="007772C4">
        <w:rPr>
          <w:lang w:val="fr-FR"/>
        </w:rPr>
        <w:t>’</w:t>
      </w:r>
      <w:r w:rsidR="008A1B52" w:rsidRPr="007772C4">
        <w:rPr>
          <w:lang w:val="fr-FR"/>
        </w:rPr>
        <w:t>était ni prévisible ni probable. En outre</w:t>
      </w:r>
      <w:r w:rsidR="00E808E4" w:rsidRPr="007772C4">
        <w:rPr>
          <w:lang w:val="fr-FR"/>
        </w:rPr>
        <w:t>,</w:t>
      </w:r>
      <w:r w:rsidR="008A1B52" w:rsidRPr="007772C4">
        <w:rPr>
          <w:lang w:val="fr-FR"/>
        </w:rPr>
        <w:t xml:space="preserve"> elle </w:t>
      </w:r>
      <w:r w:rsidR="00714523" w:rsidRPr="007772C4">
        <w:rPr>
          <w:lang w:val="fr-FR"/>
        </w:rPr>
        <w:t>considéra qu</w:t>
      </w:r>
      <w:r w:rsidR="007772C4" w:rsidRPr="007772C4">
        <w:rPr>
          <w:lang w:val="fr-FR"/>
        </w:rPr>
        <w:t>’</w:t>
      </w:r>
      <w:r w:rsidR="00714523" w:rsidRPr="007772C4">
        <w:rPr>
          <w:lang w:val="fr-FR"/>
        </w:rPr>
        <w:t>il n</w:t>
      </w:r>
      <w:r w:rsidR="007772C4" w:rsidRPr="007772C4">
        <w:rPr>
          <w:lang w:val="fr-FR"/>
        </w:rPr>
        <w:t>’</w:t>
      </w:r>
      <w:r w:rsidR="00714523" w:rsidRPr="007772C4">
        <w:rPr>
          <w:lang w:val="fr-FR"/>
        </w:rPr>
        <w:t xml:space="preserve">y avait, </w:t>
      </w:r>
      <w:r w:rsidR="00A84A96" w:rsidRPr="007772C4">
        <w:rPr>
          <w:lang w:val="fr-FR"/>
        </w:rPr>
        <w:t>entre le requérant et C.C., aucune</w:t>
      </w:r>
      <w:r w:rsidR="00746A9E" w:rsidRPr="007772C4">
        <w:rPr>
          <w:lang w:val="fr-FR"/>
        </w:rPr>
        <w:t xml:space="preserve"> </w:t>
      </w:r>
      <w:r w:rsidR="008A1B52" w:rsidRPr="007772C4">
        <w:rPr>
          <w:lang w:val="fr-FR"/>
        </w:rPr>
        <w:t>animo</w:t>
      </w:r>
      <w:r w:rsidR="00F615B6" w:rsidRPr="007772C4">
        <w:rPr>
          <w:lang w:val="fr-FR"/>
        </w:rPr>
        <w:t xml:space="preserve">sité </w:t>
      </w:r>
      <w:r w:rsidR="00E808E4" w:rsidRPr="007772C4">
        <w:rPr>
          <w:lang w:val="fr-FR"/>
        </w:rPr>
        <w:t>permettant de</w:t>
      </w:r>
      <w:r w:rsidR="008A1B52" w:rsidRPr="007772C4">
        <w:rPr>
          <w:lang w:val="fr-FR"/>
        </w:rPr>
        <w:t xml:space="preserve"> douter </w:t>
      </w:r>
      <w:r w:rsidR="00E808E4" w:rsidRPr="007772C4">
        <w:rPr>
          <w:lang w:val="fr-FR"/>
        </w:rPr>
        <w:t xml:space="preserve">de </w:t>
      </w:r>
      <w:r w:rsidR="008A1B52" w:rsidRPr="007772C4">
        <w:rPr>
          <w:lang w:val="fr-FR"/>
        </w:rPr>
        <w:t xml:space="preserve">la fiabilité de la déclaration de </w:t>
      </w:r>
      <w:r w:rsidR="00E808E4" w:rsidRPr="007772C4">
        <w:rPr>
          <w:lang w:val="fr-FR"/>
        </w:rPr>
        <w:t>ce dernier.</w:t>
      </w:r>
      <w:r w:rsidR="00F615B6" w:rsidRPr="007772C4">
        <w:rPr>
          <w:lang w:val="fr-FR"/>
        </w:rPr>
        <w:t xml:space="preserve"> Par ailleurs,</w:t>
      </w:r>
      <w:r w:rsidR="00705F7A" w:rsidRPr="007772C4">
        <w:rPr>
          <w:lang w:val="fr-FR"/>
        </w:rPr>
        <w:t xml:space="preserve"> elle estima que les déclarations de C.C., notamment celles </w:t>
      </w:r>
      <w:r w:rsidR="00AD0631" w:rsidRPr="007772C4">
        <w:rPr>
          <w:lang w:val="fr-FR"/>
        </w:rPr>
        <w:t>relatives</w:t>
      </w:r>
      <w:r w:rsidR="00705F7A" w:rsidRPr="007772C4">
        <w:rPr>
          <w:lang w:val="fr-FR"/>
        </w:rPr>
        <w:t xml:space="preserve"> à la reconnaissance du requérant, étaient précises et corroborées par </w:t>
      </w:r>
      <w:r w:rsidR="008A1B52" w:rsidRPr="007772C4">
        <w:rPr>
          <w:lang w:val="fr-FR"/>
        </w:rPr>
        <w:t>le</w:t>
      </w:r>
      <w:r w:rsidR="00705F7A" w:rsidRPr="007772C4">
        <w:rPr>
          <w:lang w:val="fr-FR"/>
        </w:rPr>
        <w:t>s</w:t>
      </w:r>
      <w:r w:rsidR="008A1B52" w:rsidRPr="007772C4">
        <w:rPr>
          <w:lang w:val="fr-FR"/>
        </w:rPr>
        <w:t xml:space="preserve"> déclaration</w:t>
      </w:r>
      <w:r w:rsidR="00705F7A" w:rsidRPr="007772C4">
        <w:rPr>
          <w:lang w:val="fr-FR"/>
        </w:rPr>
        <w:t>s</w:t>
      </w:r>
      <w:r w:rsidR="008A1B52" w:rsidRPr="007772C4">
        <w:rPr>
          <w:lang w:val="fr-FR"/>
        </w:rPr>
        <w:t xml:space="preserve"> du </w:t>
      </w:r>
      <w:r w:rsidR="009D6D74" w:rsidRPr="007772C4">
        <w:rPr>
          <w:lang w:val="fr-FR"/>
        </w:rPr>
        <w:t>témoin</w:t>
      </w:r>
      <w:r w:rsidR="008A1B52" w:rsidRPr="007772C4">
        <w:rPr>
          <w:lang w:val="fr-FR"/>
        </w:rPr>
        <w:t xml:space="preserve"> L</w:t>
      </w:r>
      <w:r w:rsidR="009C347B" w:rsidRPr="007772C4">
        <w:rPr>
          <w:lang w:val="fr-FR"/>
        </w:rPr>
        <w:t>.R</w:t>
      </w:r>
      <w:r w:rsidR="00D000FA" w:rsidRPr="007772C4">
        <w:rPr>
          <w:lang w:val="fr-FR"/>
        </w:rPr>
        <w:t>.</w:t>
      </w:r>
      <w:r w:rsidR="008A1B52" w:rsidRPr="007772C4">
        <w:rPr>
          <w:lang w:val="fr-FR"/>
        </w:rPr>
        <w:t xml:space="preserve"> </w:t>
      </w:r>
      <w:r w:rsidR="000D7FF6" w:rsidRPr="007772C4">
        <w:rPr>
          <w:lang w:val="fr-FR"/>
        </w:rPr>
        <w:t>ayant</w:t>
      </w:r>
      <w:r w:rsidR="008A1B52" w:rsidRPr="007772C4">
        <w:rPr>
          <w:lang w:val="fr-FR"/>
        </w:rPr>
        <w:t xml:space="preserve"> recueilli </w:t>
      </w:r>
      <w:r w:rsidR="00AF795D" w:rsidRPr="007772C4">
        <w:rPr>
          <w:lang w:val="fr-FR"/>
        </w:rPr>
        <w:t>l</w:t>
      </w:r>
      <w:r w:rsidR="008A1B52" w:rsidRPr="007772C4">
        <w:rPr>
          <w:lang w:val="fr-FR"/>
        </w:rPr>
        <w:t xml:space="preserve">a plainte </w:t>
      </w:r>
      <w:r w:rsidR="00F615B6" w:rsidRPr="007772C4">
        <w:rPr>
          <w:lang w:val="fr-FR"/>
        </w:rPr>
        <w:t xml:space="preserve">de </w:t>
      </w:r>
      <w:r w:rsidR="00AF795D" w:rsidRPr="007772C4">
        <w:rPr>
          <w:lang w:val="fr-FR"/>
        </w:rPr>
        <w:t>C.C</w:t>
      </w:r>
      <w:r w:rsidR="000D7FF6" w:rsidRPr="007772C4">
        <w:rPr>
          <w:lang w:val="fr-FR"/>
        </w:rPr>
        <w:t>.</w:t>
      </w:r>
    </w:p>
    <w:p w:rsidR="005D5EBF" w:rsidRPr="007772C4" w:rsidRDefault="008A1B52" w:rsidP="007772C4">
      <w:pPr>
        <w:pStyle w:val="ECHRPara"/>
        <w:rPr>
          <w:lang w:val="fr-FR"/>
        </w:rPr>
      </w:pPr>
      <w:r w:rsidRPr="007772C4">
        <w:rPr>
          <w:lang w:val="fr-FR"/>
        </w:rPr>
        <w:fldChar w:fldCharType="begin"/>
      </w:r>
      <w:r w:rsidRPr="007772C4">
        <w:rPr>
          <w:lang w:val="fr-FR"/>
        </w:rPr>
        <w:instrText xml:space="preserve"> SEQ level0 \*arabic </w:instrText>
      </w:r>
      <w:r w:rsidRPr="007772C4">
        <w:rPr>
          <w:lang w:val="fr-FR"/>
        </w:rPr>
        <w:fldChar w:fldCharType="separate"/>
      </w:r>
      <w:r w:rsidR="007772C4" w:rsidRPr="007772C4">
        <w:rPr>
          <w:noProof/>
          <w:lang w:val="fr-FR"/>
        </w:rPr>
        <w:t>21</w:t>
      </w:r>
      <w:r w:rsidRPr="007772C4">
        <w:rPr>
          <w:lang w:val="fr-FR"/>
        </w:rPr>
        <w:fldChar w:fldCharType="end"/>
      </w:r>
      <w:r w:rsidRPr="007772C4">
        <w:rPr>
          <w:lang w:val="fr-FR"/>
        </w:rPr>
        <w:t>.  </w:t>
      </w:r>
      <w:r w:rsidR="00F615B6" w:rsidRPr="007772C4">
        <w:rPr>
          <w:lang w:val="fr-FR"/>
        </w:rPr>
        <w:t>Le</w:t>
      </w:r>
      <w:r w:rsidRPr="007772C4">
        <w:rPr>
          <w:lang w:val="fr-FR"/>
        </w:rPr>
        <w:t xml:space="preserve"> requérant s</w:t>
      </w:r>
      <w:r w:rsidR="009D6D74" w:rsidRPr="007772C4">
        <w:rPr>
          <w:lang w:val="fr-FR"/>
        </w:rPr>
        <w:t>e</w:t>
      </w:r>
      <w:r w:rsidRPr="007772C4">
        <w:rPr>
          <w:lang w:val="fr-FR"/>
        </w:rPr>
        <w:t xml:space="preserve"> </w:t>
      </w:r>
      <w:proofErr w:type="spellStart"/>
      <w:r w:rsidR="009D6D74" w:rsidRPr="007772C4">
        <w:rPr>
          <w:lang w:val="fr-FR"/>
        </w:rPr>
        <w:t>pourvut</w:t>
      </w:r>
      <w:proofErr w:type="spellEnd"/>
      <w:r w:rsidR="009D6D74" w:rsidRPr="007772C4">
        <w:rPr>
          <w:lang w:val="fr-FR"/>
        </w:rPr>
        <w:t xml:space="preserve"> en cassation</w:t>
      </w:r>
      <w:r w:rsidR="00AD0631" w:rsidRPr="007772C4">
        <w:rPr>
          <w:lang w:val="fr-FR"/>
        </w:rPr>
        <w:t xml:space="preserve">. </w:t>
      </w:r>
      <w:r w:rsidR="005B24AE" w:rsidRPr="007772C4">
        <w:rPr>
          <w:lang w:val="fr-FR"/>
        </w:rPr>
        <w:t>S</w:t>
      </w:r>
      <w:r w:rsidR="007772C4" w:rsidRPr="007772C4">
        <w:rPr>
          <w:lang w:val="fr-FR"/>
        </w:rPr>
        <w:t>’</w:t>
      </w:r>
      <w:r w:rsidR="005B24AE" w:rsidRPr="007772C4">
        <w:rPr>
          <w:lang w:val="fr-FR"/>
        </w:rPr>
        <w:t>appuyant sur la jurisprudence de la Cour, i</w:t>
      </w:r>
      <w:r w:rsidR="00AD0631" w:rsidRPr="007772C4">
        <w:rPr>
          <w:lang w:val="fr-FR"/>
        </w:rPr>
        <w:t>l se plaignait</w:t>
      </w:r>
      <w:r w:rsidR="009C347B" w:rsidRPr="007772C4">
        <w:rPr>
          <w:lang w:val="fr-FR"/>
        </w:rPr>
        <w:t>, en</w:t>
      </w:r>
      <w:r w:rsidRPr="007772C4">
        <w:rPr>
          <w:lang w:val="fr-FR"/>
        </w:rPr>
        <w:t xml:space="preserve"> </w:t>
      </w:r>
      <w:r w:rsidR="009C347B" w:rsidRPr="007772C4">
        <w:rPr>
          <w:lang w:val="fr-FR"/>
        </w:rPr>
        <w:t>particulier, d</w:t>
      </w:r>
      <w:r w:rsidR="007772C4" w:rsidRPr="007772C4">
        <w:rPr>
          <w:lang w:val="fr-FR"/>
        </w:rPr>
        <w:t>’</w:t>
      </w:r>
      <w:r w:rsidR="009C347B" w:rsidRPr="007772C4">
        <w:rPr>
          <w:lang w:val="fr-FR"/>
        </w:rPr>
        <w:t>une</w:t>
      </w:r>
      <w:r w:rsidRPr="007772C4">
        <w:rPr>
          <w:lang w:val="fr-FR"/>
        </w:rPr>
        <w:t xml:space="preserve"> violation de l</w:t>
      </w:r>
      <w:r w:rsidR="007772C4" w:rsidRPr="007772C4">
        <w:rPr>
          <w:lang w:val="fr-FR"/>
        </w:rPr>
        <w:t>’</w:t>
      </w:r>
      <w:r w:rsidR="009D6D74" w:rsidRPr="007772C4">
        <w:rPr>
          <w:lang w:val="fr-FR"/>
        </w:rPr>
        <w:t>article</w:t>
      </w:r>
      <w:r w:rsidR="00D000FA" w:rsidRPr="007772C4">
        <w:rPr>
          <w:lang w:val="fr-FR"/>
        </w:rPr>
        <w:t xml:space="preserve"> 6 de la C</w:t>
      </w:r>
      <w:r w:rsidRPr="007772C4">
        <w:rPr>
          <w:lang w:val="fr-FR"/>
        </w:rPr>
        <w:t>onvention.</w:t>
      </w:r>
    </w:p>
    <w:p w:rsidR="008A1B52" w:rsidRPr="007772C4" w:rsidRDefault="008A1B52" w:rsidP="007772C4">
      <w:pPr>
        <w:pStyle w:val="ECHRPara"/>
        <w:rPr>
          <w:lang w:val="fr-FR"/>
        </w:rPr>
      </w:pPr>
      <w:r w:rsidRPr="007772C4">
        <w:rPr>
          <w:lang w:val="fr-FR"/>
        </w:rPr>
        <w:fldChar w:fldCharType="begin"/>
      </w:r>
      <w:r w:rsidRPr="007772C4">
        <w:rPr>
          <w:lang w:val="fr-FR"/>
        </w:rPr>
        <w:instrText xml:space="preserve"> SEQ level0 \*arabic </w:instrText>
      </w:r>
      <w:r w:rsidRPr="007772C4">
        <w:rPr>
          <w:lang w:val="fr-FR"/>
        </w:rPr>
        <w:fldChar w:fldCharType="separate"/>
      </w:r>
      <w:r w:rsidR="007772C4" w:rsidRPr="007772C4">
        <w:rPr>
          <w:noProof/>
          <w:lang w:val="fr-FR"/>
        </w:rPr>
        <w:t>22</w:t>
      </w:r>
      <w:r w:rsidRPr="007772C4">
        <w:rPr>
          <w:lang w:val="fr-FR"/>
        </w:rPr>
        <w:fldChar w:fldCharType="end"/>
      </w:r>
      <w:r w:rsidRPr="007772C4">
        <w:rPr>
          <w:lang w:val="fr-FR"/>
        </w:rPr>
        <w:t xml:space="preserve">.  Par un arrêt </w:t>
      </w:r>
      <w:r w:rsidR="00CB3633" w:rsidRPr="007772C4">
        <w:rPr>
          <w:lang w:val="fr-FR"/>
        </w:rPr>
        <w:t>du 17 octobre 2012, la</w:t>
      </w:r>
      <w:r w:rsidR="00F615B6" w:rsidRPr="007772C4">
        <w:rPr>
          <w:lang w:val="fr-FR"/>
        </w:rPr>
        <w:t xml:space="preserve"> Cour de cassation </w:t>
      </w:r>
      <w:r w:rsidR="00705F7A" w:rsidRPr="007772C4">
        <w:rPr>
          <w:lang w:val="fr-FR"/>
        </w:rPr>
        <w:t>débouta le requérant de son pourvoi</w:t>
      </w:r>
      <w:r w:rsidRPr="007772C4">
        <w:rPr>
          <w:lang w:val="fr-FR"/>
        </w:rPr>
        <w:t xml:space="preserve">. Sans faire </w:t>
      </w:r>
      <w:r w:rsidR="009D6D74" w:rsidRPr="007772C4">
        <w:rPr>
          <w:lang w:val="fr-FR"/>
        </w:rPr>
        <w:t>référence</w:t>
      </w:r>
      <w:r w:rsidRPr="007772C4">
        <w:rPr>
          <w:lang w:val="fr-FR"/>
        </w:rPr>
        <w:t xml:space="preserve"> à l</w:t>
      </w:r>
      <w:r w:rsidR="007772C4" w:rsidRPr="007772C4">
        <w:rPr>
          <w:lang w:val="fr-FR"/>
        </w:rPr>
        <w:t>’</w:t>
      </w:r>
      <w:r w:rsidR="009D6D74" w:rsidRPr="007772C4">
        <w:rPr>
          <w:lang w:val="fr-FR"/>
        </w:rPr>
        <w:t>article</w:t>
      </w:r>
      <w:r w:rsidRPr="007772C4">
        <w:rPr>
          <w:lang w:val="fr-FR"/>
        </w:rPr>
        <w:t xml:space="preserve"> 6 </w:t>
      </w:r>
      <w:r w:rsidR="00D000FA" w:rsidRPr="007772C4">
        <w:rPr>
          <w:lang w:val="fr-FR"/>
        </w:rPr>
        <w:t>de la Convention</w:t>
      </w:r>
      <w:r w:rsidRPr="007772C4">
        <w:rPr>
          <w:lang w:val="fr-FR"/>
        </w:rPr>
        <w:t xml:space="preserve">, la </w:t>
      </w:r>
      <w:r w:rsidR="00C36339" w:rsidRPr="007772C4">
        <w:rPr>
          <w:lang w:val="fr-FR"/>
        </w:rPr>
        <w:t>h</w:t>
      </w:r>
      <w:r w:rsidRPr="007772C4">
        <w:rPr>
          <w:lang w:val="fr-FR"/>
        </w:rPr>
        <w:t xml:space="preserve">aute juridiction </w:t>
      </w:r>
      <w:r w:rsidR="001E5D4E" w:rsidRPr="007772C4">
        <w:rPr>
          <w:lang w:val="fr-FR"/>
        </w:rPr>
        <w:t>exposa</w:t>
      </w:r>
      <w:r w:rsidR="009C347B" w:rsidRPr="007772C4">
        <w:rPr>
          <w:lang w:val="fr-FR"/>
        </w:rPr>
        <w:t xml:space="preserve"> que</w:t>
      </w:r>
      <w:r w:rsidR="00E8426C" w:rsidRPr="007772C4">
        <w:rPr>
          <w:lang w:val="fr-FR"/>
        </w:rPr>
        <w:t xml:space="preserve"> C.C.</w:t>
      </w:r>
      <w:r w:rsidR="00A92610" w:rsidRPr="007772C4">
        <w:rPr>
          <w:lang w:val="fr-FR"/>
        </w:rPr>
        <w:t>, condamné par contumace dans le cadre</w:t>
      </w:r>
      <w:r w:rsidR="00E8426C" w:rsidRPr="007772C4">
        <w:rPr>
          <w:lang w:val="fr-FR"/>
        </w:rPr>
        <w:t xml:space="preserve"> </w:t>
      </w:r>
      <w:r w:rsidR="00A92610" w:rsidRPr="007772C4">
        <w:rPr>
          <w:lang w:val="fr-FR"/>
        </w:rPr>
        <w:t>d</w:t>
      </w:r>
      <w:r w:rsidR="007772C4" w:rsidRPr="007772C4">
        <w:rPr>
          <w:lang w:val="fr-FR"/>
        </w:rPr>
        <w:t>’</w:t>
      </w:r>
      <w:r w:rsidR="00A92610" w:rsidRPr="007772C4">
        <w:rPr>
          <w:lang w:val="fr-FR"/>
        </w:rPr>
        <w:t xml:space="preserve">une autre procédure pénale, </w:t>
      </w:r>
      <w:r w:rsidR="00E8426C" w:rsidRPr="007772C4">
        <w:rPr>
          <w:lang w:val="fr-FR"/>
        </w:rPr>
        <w:t>était</w:t>
      </w:r>
      <w:r w:rsidR="00A92610" w:rsidRPr="007772C4">
        <w:rPr>
          <w:lang w:val="fr-FR"/>
        </w:rPr>
        <w:t xml:space="preserve"> </w:t>
      </w:r>
      <w:r w:rsidR="00E8426C" w:rsidRPr="007772C4">
        <w:rPr>
          <w:lang w:val="fr-FR"/>
        </w:rPr>
        <w:t>intr</w:t>
      </w:r>
      <w:r w:rsidR="00F615B6" w:rsidRPr="007772C4">
        <w:rPr>
          <w:lang w:val="fr-FR"/>
        </w:rPr>
        <w:t>ouvable</w:t>
      </w:r>
      <w:r w:rsidR="00A92610" w:rsidRPr="007772C4">
        <w:rPr>
          <w:lang w:val="fr-FR"/>
        </w:rPr>
        <w:t>,</w:t>
      </w:r>
      <w:r w:rsidR="00E8426C" w:rsidRPr="007772C4">
        <w:rPr>
          <w:lang w:val="fr-FR"/>
        </w:rPr>
        <w:t xml:space="preserve"> que cela n</w:t>
      </w:r>
      <w:r w:rsidR="007772C4" w:rsidRPr="007772C4">
        <w:rPr>
          <w:lang w:val="fr-FR"/>
        </w:rPr>
        <w:t>’</w:t>
      </w:r>
      <w:r w:rsidR="00E8426C" w:rsidRPr="007772C4">
        <w:rPr>
          <w:lang w:val="fr-FR"/>
        </w:rPr>
        <w:t xml:space="preserve">était pas </w:t>
      </w:r>
      <w:r w:rsidR="009D6D74" w:rsidRPr="007772C4">
        <w:rPr>
          <w:lang w:val="fr-FR"/>
        </w:rPr>
        <w:t>prévisible</w:t>
      </w:r>
      <w:r w:rsidR="00E8426C" w:rsidRPr="007772C4">
        <w:rPr>
          <w:lang w:val="fr-FR"/>
        </w:rPr>
        <w:t xml:space="preserve"> </w:t>
      </w:r>
      <w:r w:rsidR="00F615B6" w:rsidRPr="007772C4">
        <w:rPr>
          <w:lang w:val="fr-FR"/>
        </w:rPr>
        <w:t>à</w:t>
      </w:r>
      <w:r w:rsidR="00E8426C" w:rsidRPr="007772C4">
        <w:rPr>
          <w:lang w:val="fr-FR"/>
        </w:rPr>
        <w:t xml:space="preserve"> l</w:t>
      </w:r>
      <w:r w:rsidR="007772C4" w:rsidRPr="007772C4">
        <w:rPr>
          <w:lang w:val="fr-FR"/>
        </w:rPr>
        <w:t>’</w:t>
      </w:r>
      <w:r w:rsidR="00E8426C" w:rsidRPr="007772C4">
        <w:rPr>
          <w:lang w:val="fr-FR"/>
        </w:rPr>
        <w:t>époque de</w:t>
      </w:r>
      <w:r w:rsidR="00A84A96" w:rsidRPr="007772C4">
        <w:rPr>
          <w:lang w:val="fr-FR"/>
        </w:rPr>
        <w:t xml:space="preserve"> se</w:t>
      </w:r>
      <w:r w:rsidR="00E8426C" w:rsidRPr="007772C4">
        <w:rPr>
          <w:lang w:val="fr-FR"/>
        </w:rPr>
        <w:t>s déclarations</w:t>
      </w:r>
      <w:r w:rsidR="00A92610" w:rsidRPr="007772C4">
        <w:rPr>
          <w:lang w:val="fr-FR"/>
        </w:rPr>
        <w:t xml:space="preserve"> </w:t>
      </w:r>
      <w:r w:rsidR="005D6FA6" w:rsidRPr="007772C4">
        <w:rPr>
          <w:lang w:val="fr-FR"/>
        </w:rPr>
        <w:t>aux</w:t>
      </w:r>
      <w:r w:rsidR="00A84A96" w:rsidRPr="007772C4">
        <w:rPr>
          <w:lang w:val="fr-FR"/>
        </w:rPr>
        <w:t xml:space="preserve"> carabiniers</w:t>
      </w:r>
      <w:r w:rsidR="00E8426C" w:rsidRPr="007772C4">
        <w:rPr>
          <w:lang w:val="fr-FR"/>
        </w:rPr>
        <w:t xml:space="preserve"> et que</w:t>
      </w:r>
      <w:r w:rsidR="00D000FA" w:rsidRPr="007772C4">
        <w:rPr>
          <w:lang w:val="fr-FR"/>
        </w:rPr>
        <w:t xml:space="preserve">, </w:t>
      </w:r>
      <w:r w:rsidR="00A92610" w:rsidRPr="007772C4">
        <w:rPr>
          <w:lang w:val="fr-FR"/>
        </w:rPr>
        <w:t xml:space="preserve">par conséquent, </w:t>
      </w:r>
      <w:r w:rsidR="00E8426C" w:rsidRPr="007772C4">
        <w:rPr>
          <w:lang w:val="fr-FR"/>
        </w:rPr>
        <w:t xml:space="preserve">le tribunal avait légitimement </w:t>
      </w:r>
      <w:r w:rsidR="00A92610" w:rsidRPr="007772C4">
        <w:rPr>
          <w:lang w:val="fr-FR"/>
        </w:rPr>
        <w:t xml:space="preserve">admis </w:t>
      </w:r>
      <w:r w:rsidR="00A84A96" w:rsidRPr="007772C4">
        <w:rPr>
          <w:lang w:val="fr-FR"/>
        </w:rPr>
        <w:t>à</w:t>
      </w:r>
      <w:r w:rsidR="001E5D4E" w:rsidRPr="007772C4">
        <w:rPr>
          <w:lang w:val="fr-FR"/>
        </w:rPr>
        <w:t xml:space="preserve"> titre de preuve </w:t>
      </w:r>
      <w:r w:rsidR="00E8426C" w:rsidRPr="007772C4">
        <w:rPr>
          <w:lang w:val="fr-FR"/>
        </w:rPr>
        <w:t xml:space="preserve">les </w:t>
      </w:r>
      <w:r w:rsidR="00E8426C" w:rsidRPr="007772C4">
        <w:rPr>
          <w:lang w:val="fr-FR"/>
        </w:rPr>
        <w:lastRenderedPageBreak/>
        <w:t xml:space="preserve">déclarations de C.C. </w:t>
      </w:r>
      <w:r w:rsidR="00A92610" w:rsidRPr="007772C4">
        <w:rPr>
          <w:lang w:val="fr-FR"/>
        </w:rPr>
        <w:t xml:space="preserve">Elle ajouta que </w:t>
      </w:r>
      <w:r w:rsidR="00E8426C" w:rsidRPr="007772C4">
        <w:rPr>
          <w:lang w:val="fr-FR"/>
        </w:rPr>
        <w:t xml:space="preserve">le </w:t>
      </w:r>
      <w:r w:rsidR="009D6D74" w:rsidRPr="007772C4">
        <w:rPr>
          <w:lang w:val="fr-FR"/>
        </w:rPr>
        <w:t>requérant</w:t>
      </w:r>
      <w:r w:rsidR="00E8426C" w:rsidRPr="007772C4">
        <w:rPr>
          <w:lang w:val="fr-FR"/>
        </w:rPr>
        <w:t xml:space="preserve"> </w:t>
      </w:r>
      <w:r w:rsidR="009D6D74" w:rsidRPr="007772C4">
        <w:rPr>
          <w:lang w:val="fr-FR"/>
        </w:rPr>
        <w:t>avait</w:t>
      </w:r>
      <w:r w:rsidR="00E8426C" w:rsidRPr="007772C4">
        <w:rPr>
          <w:lang w:val="fr-FR"/>
        </w:rPr>
        <w:t xml:space="preserve"> pris acte </w:t>
      </w:r>
      <w:r w:rsidR="00A92610" w:rsidRPr="007772C4">
        <w:rPr>
          <w:lang w:val="fr-FR"/>
        </w:rPr>
        <w:t xml:space="preserve">de cette admission </w:t>
      </w:r>
      <w:r w:rsidR="00E8426C" w:rsidRPr="007772C4">
        <w:rPr>
          <w:lang w:val="fr-FR"/>
        </w:rPr>
        <w:t>sans s</w:t>
      </w:r>
      <w:r w:rsidR="007772C4" w:rsidRPr="007772C4">
        <w:rPr>
          <w:lang w:val="fr-FR"/>
        </w:rPr>
        <w:t>’</w:t>
      </w:r>
      <w:r w:rsidR="00A92610" w:rsidRPr="007772C4">
        <w:rPr>
          <w:lang w:val="fr-FR"/>
        </w:rPr>
        <w:t xml:space="preserve">y </w:t>
      </w:r>
      <w:r w:rsidR="00E8426C" w:rsidRPr="007772C4">
        <w:rPr>
          <w:lang w:val="fr-FR"/>
        </w:rPr>
        <w:t>opposer.</w:t>
      </w:r>
    </w:p>
    <w:p w:rsidR="00E77CB3" w:rsidRPr="007772C4" w:rsidRDefault="00E77CB3" w:rsidP="007772C4">
      <w:pPr>
        <w:pStyle w:val="ECHRHeading1"/>
        <w:rPr>
          <w:lang w:val="fr-FR"/>
        </w:rPr>
      </w:pPr>
      <w:r w:rsidRPr="007772C4">
        <w:rPr>
          <w:lang w:val="fr-FR"/>
        </w:rPr>
        <w:t>II.</w:t>
      </w:r>
      <w:proofErr w:type="gramStart"/>
      <w:r w:rsidRPr="007772C4">
        <w:rPr>
          <w:lang w:val="fr-FR"/>
        </w:rPr>
        <w:t>  </w:t>
      </w:r>
      <w:r w:rsidR="00527B46" w:rsidRPr="007772C4">
        <w:rPr>
          <w:lang w:val="fr-FR"/>
        </w:rPr>
        <w:t>LE</w:t>
      </w:r>
      <w:proofErr w:type="gramEnd"/>
      <w:r w:rsidR="00527B46" w:rsidRPr="007772C4">
        <w:rPr>
          <w:lang w:val="fr-FR"/>
        </w:rPr>
        <w:t xml:space="preserve"> DROIT INTERNE PERTINENT</w:t>
      </w:r>
    </w:p>
    <w:bookmarkStart w:id="7" w:name="par23"/>
    <w:p w:rsidR="002D2E7C" w:rsidRPr="007772C4" w:rsidRDefault="00A70075" w:rsidP="007772C4">
      <w:pPr>
        <w:pStyle w:val="ECHRPara"/>
        <w:rPr>
          <w:i/>
          <w:lang w:val="fr-FR"/>
        </w:rPr>
      </w:pPr>
      <w:r w:rsidRPr="007772C4">
        <w:rPr>
          <w:noProof/>
          <w:lang w:val="fr-FR"/>
        </w:rPr>
        <w:fldChar w:fldCharType="begin"/>
      </w:r>
      <w:r w:rsidRPr="007772C4">
        <w:rPr>
          <w:noProof/>
          <w:lang w:val="fr-FR"/>
        </w:rPr>
        <w:instrText xml:space="preserve"> SEQ level0 \*arabic </w:instrText>
      </w:r>
      <w:r w:rsidRPr="007772C4">
        <w:rPr>
          <w:noProof/>
          <w:lang w:val="fr-FR"/>
        </w:rPr>
        <w:fldChar w:fldCharType="separate"/>
      </w:r>
      <w:r w:rsidR="007772C4" w:rsidRPr="007772C4">
        <w:rPr>
          <w:noProof/>
          <w:lang w:val="fr-FR"/>
        </w:rPr>
        <w:t>23</w:t>
      </w:r>
      <w:r w:rsidRPr="007772C4">
        <w:rPr>
          <w:noProof/>
          <w:lang w:val="fr-FR"/>
        </w:rPr>
        <w:fldChar w:fldCharType="end"/>
      </w:r>
      <w:r w:rsidRPr="007772C4">
        <w:rPr>
          <w:noProof/>
          <w:lang w:val="fr-FR"/>
        </w:rPr>
        <w:t>.  </w:t>
      </w:r>
      <w:bookmarkEnd w:id="7"/>
      <w:r w:rsidRPr="007772C4">
        <w:rPr>
          <w:rFonts w:ascii="Times New Roman" w:hAnsi="Times New Roman" w:cs="Times New Roman"/>
          <w:color w:val="000000"/>
          <w:lang w:val="fr-FR"/>
        </w:rPr>
        <w:t>Le droit interne pertinent se trouve décrit dans l</w:t>
      </w:r>
      <w:r w:rsidR="007772C4" w:rsidRPr="007772C4">
        <w:rPr>
          <w:rFonts w:ascii="Times New Roman" w:hAnsi="Times New Roman" w:cs="Times New Roman"/>
          <w:color w:val="000000"/>
          <w:lang w:val="fr-FR"/>
        </w:rPr>
        <w:t>’</w:t>
      </w:r>
      <w:r w:rsidRPr="007772C4">
        <w:rPr>
          <w:rFonts w:ascii="Times New Roman" w:hAnsi="Times New Roman" w:cs="Times New Roman"/>
          <w:color w:val="000000"/>
          <w:lang w:val="fr-FR"/>
        </w:rPr>
        <w:t>arrêt</w:t>
      </w:r>
      <w:r w:rsidRPr="007772C4">
        <w:rPr>
          <w:i/>
          <w:lang w:val="fr-FR"/>
        </w:rPr>
        <w:t xml:space="preserve"> Ben </w:t>
      </w:r>
      <w:proofErr w:type="spellStart"/>
      <w:r w:rsidRPr="007772C4">
        <w:rPr>
          <w:i/>
          <w:lang w:val="fr-FR"/>
        </w:rPr>
        <w:t>Moumen</w:t>
      </w:r>
      <w:proofErr w:type="spellEnd"/>
      <w:r w:rsidRPr="007772C4">
        <w:rPr>
          <w:lang w:val="fr-FR"/>
        </w:rPr>
        <w:t xml:space="preserve"> </w:t>
      </w:r>
      <w:r w:rsidR="007772C4" w:rsidRPr="007772C4">
        <w:rPr>
          <w:i/>
          <w:lang w:val="fr-FR"/>
        </w:rPr>
        <w:t>c. </w:t>
      </w:r>
      <w:r w:rsidRPr="007772C4">
        <w:rPr>
          <w:i/>
          <w:lang w:val="fr-FR"/>
        </w:rPr>
        <w:t>Italie</w:t>
      </w:r>
      <w:r w:rsidRPr="007772C4">
        <w:rPr>
          <w:lang w:val="fr-FR"/>
        </w:rPr>
        <w:t xml:space="preserve">, </w:t>
      </w:r>
      <w:r w:rsidR="007C1848" w:rsidRPr="007772C4">
        <w:rPr>
          <w:lang w:val="fr-FR"/>
        </w:rPr>
        <w:t>(</w:t>
      </w:r>
      <w:r w:rsidRPr="007772C4">
        <w:rPr>
          <w:lang w:val="fr-FR"/>
        </w:rPr>
        <w:t>n</w:t>
      </w:r>
      <w:r w:rsidRPr="007772C4">
        <w:rPr>
          <w:vertAlign w:val="superscript"/>
          <w:lang w:val="fr-FR"/>
        </w:rPr>
        <w:t>o</w:t>
      </w:r>
      <w:r w:rsidRPr="007772C4">
        <w:rPr>
          <w:lang w:val="fr-FR"/>
        </w:rPr>
        <w:t xml:space="preserve"> 3977/13, §§28-30, 23 juin 2016</w:t>
      </w:r>
      <w:r w:rsidR="007C1848" w:rsidRPr="007772C4">
        <w:rPr>
          <w:lang w:val="fr-FR"/>
        </w:rPr>
        <w:t>)</w:t>
      </w:r>
      <w:r w:rsidR="007C1848" w:rsidRPr="007772C4">
        <w:rPr>
          <w:noProof/>
          <w:lang w:val="fr-FR"/>
        </w:rPr>
        <w:t>.</w:t>
      </w:r>
    </w:p>
    <w:p w:rsidR="00527B46" w:rsidRPr="007772C4" w:rsidRDefault="00E77CB3" w:rsidP="007772C4">
      <w:pPr>
        <w:pStyle w:val="ECHRTitle1"/>
        <w:rPr>
          <w:lang w:val="fr-FR"/>
        </w:rPr>
      </w:pPr>
      <w:r w:rsidRPr="007772C4">
        <w:rPr>
          <w:lang w:val="fr-FR"/>
        </w:rPr>
        <w:t>EN DROIT</w:t>
      </w:r>
    </w:p>
    <w:p w:rsidR="00E77CB3" w:rsidRPr="007772C4" w:rsidRDefault="00775EA1" w:rsidP="007772C4">
      <w:pPr>
        <w:pStyle w:val="ECHRHeading1"/>
        <w:rPr>
          <w:lang w:val="fr-FR"/>
        </w:rPr>
      </w:pPr>
      <w:r w:rsidRPr="007772C4">
        <w:rPr>
          <w:lang w:val="fr-FR"/>
        </w:rPr>
        <w:t>I</w:t>
      </w:r>
      <w:r w:rsidR="00F175EE" w:rsidRPr="007772C4">
        <w:rPr>
          <w:lang w:val="fr-FR"/>
        </w:rPr>
        <w:t>.</w:t>
      </w:r>
      <w:proofErr w:type="gramStart"/>
      <w:r w:rsidR="00E77CB3" w:rsidRPr="007772C4">
        <w:rPr>
          <w:lang w:val="fr-FR"/>
        </w:rPr>
        <w:t>  SUR</w:t>
      </w:r>
      <w:proofErr w:type="gramEnd"/>
      <w:r w:rsidR="00E77CB3" w:rsidRPr="007772C4">
        <w:rPr>
          <w:lang w:val="fr-FR"/>
        </w:rPr>
        <w:t xml:space="preserve"> LA VIOLATION ALLÉGUÉE DE L</w:t>
      </w:r>
      <w:r w:rsidR="007772C4" w:rsidRPr="007772C4">
        <w:rPr>
          <w:lang w:val="fr-FR"/>
        </w:rPr>
        <w:t>’</w:t>
      </w:r>
      <w:r w:rsidR="00E77CB3" w:rsidRPr="007772C4">
        <w:rPr>
          <w:lang w:val="fr-FR"/>
        </w:rPr>
        <w:t xml:space="preserve">ARTICLE </w:t>
      </w:r>
      <w:r w:rsidR="00527B46" w:rsidRPr="007772C4">
        <w:rPr>
          <w:lang w:val="fr-FR"/>
        </w:rPr>
        <w:t>6 §§ 1 ET 3 d) DE LA CONVENTION</w:t>
      </w:r>
    </w:p>
    <w:p w:rsidR="00527B46" w:rsidRPr="007772C4" w:rsidRDefault="00527B46" w:rsidP="007772C4">
      <w:pPr>
        <w:pStyle w:val="ECHRPara"/>
        <w:rPr>
          <w:lang w:val="fr-FR"/>
        </w:rPr>
      </w:pPr>
      <w:r w:rsidRPr="007772C4">
        <w:rPr>
          <w:lang w:val="fr-FR"/>
        </w:rPr>
        <w:fldChar w:fldCharType="begin"/>
      </w:r>
      <w:r w:rsidRPr="007772C4">
        <w:rPr>
          <w:lang w:val="fr-FR"/>
        </w:rPr>
        <w:instrText xml:space="preserve"> SEQ level0 \*arabic </w:instrText>
      </w:r>
      <w:r w:rsidRPr="007772C4">
        <w:rPr>
          <w:lang w:val="fr-FR"/>
        </w:rPr>
        <w:fldChar w:fldCharType="separate"/>
      </w:r>
      <w:r w:rsidR="007772C4" w:rsidRPr="007772C4">
        <w:rPr>
          <w:noProof/>
          <w:lang w:val="fr-FR"/>
        </w:rPr>
        <w:t>24</w:t>
      </w:r>
      <w:r w:rsidRPr="007772C4">
        <w:rPr>
          <w:lang w:val="fr-FR"/>
        </w:rPr>
        <w:fldChar w:fldCharType="end"/>
      </w:r>
      <w:r w:rsidRPr="007772C4">
        <w:rPr>
          <w:lang w:val="fr-FR"/>
        </w:rPr>
        <w:t xml:space="preserve">.  Le requérant considère que la procédure pénale </w:t>
      </w:r>
      <w:r w:rsidR="005E0E41" w:rsidRPr="007772C4">
        <w:rPr>
          <w:lang w:val="fr-FR"/>
        </w:rPr>
        <w:t xml:space="preserve">menée </w:t>
      </w:r>
      <w:r w:rsidRPr="007772C4">
        <w:rPr>
          <w:lang w:val="fr-FR"/>
        </w:rPr>
        <w:t>à son encontre n</w:t>
      </w:r>
      <w:r w:rsidR="007772C4" w:rsidRPr="007772C4">
        <w:rPr>
          <w:lang w:val="fr-FR"/>
        </w:rPr>
        <w:t>’</w:t>
      </w:r>
      <w:r w:rsidRPr="007772C4">
        <w:rPr>
          <w:lang w:val="fr-FR"/>
        </w:rPr>
        <w:t>a pas été équitable. Il invoque l</w:t>
      </w:r>
      <w:r w:rsidR="007772C4" w:rsidRPr="007772C4">
        <w:rPr>
          <w:lang w:val="fr-FR"/>
        </w:rPr>
        <w:t>’</w:t>
      </w:r>
      <w:r w:rsidRPr="007772C4">
        <w:rPr>
          <w:lang w:val="fr-FR"/>
        </w:rPr>
        <w:t>article 6 §§ 1 et 3 d) de la Convention, qui</w:t>
      </w:r>
      <w:r w:rsidR="005E0E41" w:rsidRPr="007772C4">
        <w:rPr>
          <w:lang w:val="fr-FR"/>
        </w:rPr>
        <w:t xml:space="preserve"> est ainsi libellé</w:t>
      </w:r>
      <w:r w:rsidRPr="007772C4">
        <w:rPr>
          <w:lang w:val="fr-FR"/>
        </w:rPr>
        <w:t xml:space="preserve"> en ses parties pertinentes</w:t>
      </w:r>
      <w:r w:rsidR="005E0E41" w:rsidRPr="007772C4">
        <w:rPr>
          <w:lang w:val="fr-FR"/>
        </w:rPr>
        <w:t xml:space="preserve"> en l</w:t>
      </w:r>
      <w:r w:rsidR="007772C4" w:rsidRPr="007772C4">
        <w:rPr>
          <w:lang w:val="fr-FR"/>
        </w:rPr>
        <w:t>’</w:t>
      </w:r>
      <w:r w:rsidR="005E0E41" w:rsidRPr="007772C4">
        <w:rPr>
          <w:lang w:val="fr-FR"/>
        </w:rPr>
        <w:t xml:space="preserve">espèce </w:t>
      </w:r>
      <w:r w:rsidRPr="007772C4">
        <w:rPr>
          <w:lang w:val="fr-FR"/>
        </w:rPr>
        <w:t>:</w:t>
      </w:r>
    </w:p>
    <w:p w:rsidR="00527B46" w:rsidRPr="007772C4" w:rsidRDefault="007772C4" w:rsidP="007772C4">
      <w:pPr>
        <w:pStyle w:val="ECHRParaQuote"/>
        <w:rPr>
          <w:lang w:val="fr-FR"/>
        </w:rPr>
      </w:pPr>
      <w:r w:rsidRPr="007772C4">
        <w:rPr>
          <w:lang w:val="fr-FR"/>
        </w:rPr>
        <w:t>« </w:t>
      </w:r>
      <w:r w:rsidR="00DB0D6E" w:rsidRPr="007772C4">
        <w:rPr>
          <w:lang w:val="fr-FR"/>
        </w:rPr>
        <w:t>1.</w:t>
      </w:r>
      <w:proofErr w:type="gramStart"/>
      <w:r w:rsidR="00DB0D6E" w:rsidRPr="007772C4">
        <w:rPr>
          <w:lang w:val="fr-FR"/>
        </w:rPr>
        <w:t>  </w:t>
      </w:r>
      <w:r w:rsidR="00527B46" w:rsidRPr="007772C4">
        <w:rPr>
          <w:lang w:val="fr-FR"/>
        </w:rPr>
        <w:t>Toute</w:t>
      </w:r>
      <w:proofErr w:type="gramEnd"/>
      <w:r w:rsidR="00527B46" w:rsidRPr="007772C4">
        <w:rPr>
          <w:lang w:val="fr-FR"/>
        </w:rPr>
        <w:t xml:space="preserve"> personne a droit à ce que sa cause soit entendue équitablement (...) par un tribunal (...) qui décidera (...) du bien-fondé de toute accusation en matière pénale dirigée contre elle. (...)</w:t>
      </w:r>
    </w:p>
    <w:p w:rsidR="00527B46" w:rsidRPr="007772C4" w:rsidRDefault="00527B46" w:rsidP="007772C4">
      <w:pPr>
        <w:pStyle w:val="ECHRParaQuote"/>
        <w:rPr>
          <w:lang w:val="fr-FR"/>
        </w:rPr>
      </w:pPr>
      <w:r w:rsidRPr="007772C4">
        <w:rPr>
          <w:lang w:val="fr-FR"/>
        </w:rPr>
        <w:t>3</w:t>
      </w:r>
      <w:r w:rsidR="00DB0D6E" w:rsidRPr="007772C4">
        <w:rPr>
          <w:lang w:val="fr-FR"/>
        </w:rPr>
        <w:t>.  </w:t>
      </w:r>
      <w:r w:rsidRPr="007772C4">
        <w:rPr>
          <w:lang w:val="fr-FR"/>
        </w:rPr>
        <w:t>Tout accusé a droit notamment à :</w:t>
      </w:r>
    </w:p>
    <w:p w:rsidR="00527B46" w:rsidRPr="007772C4" w:rsidRDefault="00527B46" w:rsidP="007772C4">
      <w:pPr>
        <w:pStyle w:val="ECHRParaQuote"/>
        <w:rPr>
          <w:lang w:val="fr-FR"/>
        </w:rPr>
      </w:pPr>
      <w:r w:rsidRPr="007772C4">
        <w:rPr>
          <w:lang w:val="fr-FR"/>
        </w:rPr>
        <w:t>(...)</w:t>
      </w:r>
    </w:p>
    <w:p w:rsidR="00527B46" w:rsidRPr="007772C4" w:rsidRDefault="00527B46" w:rsidP="007772C4">
      <w:pPr>
        <w:pStyle w:val="ECHRParaQuote"/>
        <w:rPr>
          <w:lang w:val="fr-FR"/>
        </w:rPr>
      </w:pPr>
      <w:r w:rsidRPr="007772C4">
        <w:rPr>
          <w:lang w:val="fr-FR"/>
        </w:rPr>
        <w:t>d) interroger ou faire interroger les témoins à charge et obtenir la convocation et l</w:t>
      </w:r>
      <w:r w:rsidR="007772C4" w:rsidRPr="007772C4">
        <w:rPr>
          <w:lang w:val="fr-FR"/>
        </w:rPr>
        <w:t>’</w:t>
      </w:r>
      <w:r w:rsidRPr="007772C4">
        <w:rPr>
          <w:lang w:val="fr-FR"/>
        </w:rPr>
        <w:t>interrogation des témoins à décharge dans les mêmes conditions que les témoins à charge ;</w:t>
      </w:r>
    </w:p>
    <w:p w:rsidR="00527B46" w:rsidRPr="007772C4" w:rsidRDefault="007772C4" w:rsidP="007772C4">
      <w:pPr>
        <w:pStyle w:val="ECHRParaQuote"/>
        <w:rPr>
          <w:lang w:val="fr-FR"/>
        </w:rPr>
      </w:pPr>
      <w:r w:rsidRPr="007772C4">
        <w:rPr>
          <w:lang w:val="fr-FR"/>
        </w:rPr>
        <w:t>(...) </w:t>
      </w:r>
      <w:r w:rsidR="00527B46" w:rsidRPr="007772C4">
        <w:rPr>
          <w:lang w:val="fr-FR"/>
        </w:rPr>
        <w:t>»</w:t>
      </w:r>
    </w:p>
    <w:p w:rsidR="00E77CB3" w:rsidRPr="007772C4" w:rsidRDefault="00E77CB3" w:rsidP="007772C4">
      <w:pPr>
        <w:pStyle w:val="ECHRHeading2"/>
        <w:rPr>
          <w:lang w:val="fr-FR"/>
        </w:rPr>
      </w:pPr>
      <w:r w:rsidRPr="007772C4">
        <w:rPr>
          <w:lang w:val="fr-FR"/>
        </w:rPr>
        <w:t>A.</w:t>
      </w:r>
      <w:proofErr w:type="gramStart"/>
      <w:r w:rsidRPr="007772C4">
        <w:rPr>
          <w:lang w:val="fr-FR"/>
        </w:rPr>
        <w:t>  Sur</w:t>
      </w:r>
      <w:proofErr w:type="gramEnd"/>
      <w:r w:rsidRPr="007772C4">
        <w:rPr>
          <w:lang w:val="fr-FR"/>
        </w:rPr>
        <w:t xml:space="preserve"> la recevabilité</w:t>
      </w:r>
    </w:p>
    <w:p w:rsidR="00C67BA6" w:rsidRPr="007772C4" w:rsidRDefault="00064A95" w:rsidP="007772C4">
      <w:pPr>
        <w:pStyle w:val="ECHRPara"/>
        <w:rPr>
          <w:lang w:val="fr-FR"/>
        </w:rPr>
      </w:pPr>
      <w:r w:rsidRPr="007772C4">
        <w:rPr>
          <w:lang w:val="fr-FR"/>
        </w:rPr>
        <w:fldChar w:fldCharType="begin"/>
      </w:r>
      <w:r w:rsidRPr="007772C4">
        <w:rPr>
          <w:lang w:val="fr-FR"/>
        </w:rPr>
        <w:instrText xml:space="preserve"> SEQ level0 \*arabic </w:instrText>
      </w:r>
      <w:r w:rsidRPr="007772C4">
        <w:rPr>
          <w:lang w:val="fr-FR"/>
        </w:rPr>
        <w:fldChar w:fldCharType="separate"/>
      </w:r>
      <w:r w:rsidR="007772C4" w:rsidRPr="007772C4">
        <w:rPr>
          <w:noProof/>
          <w:lang w:val="fr-FR"/>
        </w:rPr>
        <w:t>25</w:t>
      </w:r>
      <w:r w:rsidRPr="007772C4">
        <w:rPr>
          <w:lang w:val="fr-FR"/>
        </w:rPr>
        <w:fldChar w:fldCharType="end"/>
      </w:r>
      <w:r w:rsidRPr="007772C4">
        <w:rPr>
          <w:lang w:val="fr-FR"/>
        </w:rPr>
        <w:t>.  </w:t>
      </w:r>
      <w:r w:rsidR="00D000FA" w:rsidRPr="007772C4">
        <w:rPr>
          <w:lang w:val="fr-FR"/>
        </w:rPr>
        <w:t xml:space="preserve">Le Gouvernement </w:t>
      </w:r>
      <w:r w:rsidR="00376820" w:rsidRPr="007772C4">
        <w:rPr>
          <w:lang w:val="fr-FR"/>
        </w:rPr>
        <w:t>soutient</w:t>
      </w:r>
      <w:r w:rsidR="00D000FA" w:rsidRPr="007772C4">
        <w:rPr>
          <w:lang w:val="fr-FR"/>
        </w:rPr>
        <w:t xml:space="preserve"> que le requérant, </w:t>
      </w:r>
      <w:r w:rsidR="005D6FA6" w:rsidRPr="007772C4">
        <w:rPr>
          <w:lang w:val="fr-FR"/>
        </w:rPr>
        <w:t xml:space="preserve">en </w:t>
      </w:r>
      <w:r w:rsidR="005E0E41" w:rsidRPr="007772C4">
        <w:rPr>
          <w:lang w:val="fr-FR"/>
        </w:rPr>
        <w:t xml:space="preserve">ayant omis </w:t>
      </w:r>
      <w:r w:rsidR="00D000FA" w:rsidRPr="007772C4">
        <w:rPr>
          <w:lang w:val="fr-FR"/>
        </w:rPr>
        <w:t>de s</w:t>
      </w:r>
      <w:r w:rsidR="007772C4" w:rsidRPr="007772C4">
        <w:rPr>
          <w:lang w:val="fr-FR"/>
        </w:rPr>
        <w:t>’</w:t>
      </w:r>
      <w:r w:rsidR="00D000FA" w:rsidRPr="007772C4">
        <w:rPr>
          <w:lang w:val="fr-FR"/>
        </w:rPr>
        <w:t>opposer pendant les débats à la lecture des déclarations litigieuses, ne s</w:t>
      </w:r>
      <w:r w:rsidR="007772C4" w:rsidRPr="007772C4">
        <w:rPr>
          <w:lang w:val="fr-FR"/>
        </w:rPr>
        <w:t>’</w:t>
      </w:r>
      <w:r w:rsidR="00D000FA" w:rsidRPr="007772C4">
        <w:rPr>
          <w:lang w:val="fr-FR"/>
        </w:rPr>
        <w:t>est pas prévalu d</w:t>
      </w:r>
      <w:r w:rsidR="007772C4" w:rsidRPr="007772C4">
        <w:rPr>
          <w:lang w:val="fr-FR"/>
        </w:rPr>
        <w:t>’</w:t>
      </w:r>
      <w:r w:rsidR="00D000FA" w:rsidRPr="007772C4">
        <w:rPr>
          <w:lang w:val="fr-FR"/>
        </w:rPr>
        <w:t>un remède accessible, adéquat et efficace offert en droit interne pour exclure ce matériel probatoire du dossier du juge.</w:t>
      </w:r>
    </w:p>
    <w:p w:rsidR="00E66170" w:rsidRPr="007772C4" w:rsidRDefault="00E66170" w:rsidP="007772C4">
      <w:pPr>
        <w:pStyle w:val="ECHRPara"/>
        <w:rPr>
          <w:lang w:val="fr-FR"/>
        </w:rPr>
      </w:pPr>
      <w:r w:rsidRPr="007772C4">
        <w:rPr>
          <w:lang w:val="fr-FR"/>
        </w:rPr>
        <w:fldChar w:fldCharType="begin"/>
      </w:r>
      <w:r w:rsidRPr="007772C4">
        <w:rPr>
          <w:lang w:val="fr-FR"/>
        </w:rPr>
        <w:instrText xml:space="preserve"> SEQ level0 \*arabic </w:instrText>
      </w:r>
      <w:r w:rsidRPr="007772C4">
        <w:rPr>
          <w:lang w:val="fr-FR"/>
        </w:rPr>
        <w:fldChar w:fldCharType="separate"/>
      </w:r>
      <w:r w:rsidR="007772C4" w:rsidRPr="007772C4">
        <w:rPr>
          <w:noProof/>
          <w:lang w:val="fr-FR"/>
        </w:rPr>
        <w:t>26</w:t>
      </w:r>
      <w:r w:rsidRPr="007772C4">
        <w:rPr>
          <w:lang w:val="fr-FR"/>
        </w:rPr>
        <w:fldChar w:fldCharType="end"/>
      </w:r>
      <w:r w:rsidR="00DB0D6E" w:rsidRPr="007772C4">
        <w:rPr>
          <w:lang w:val="fr-FR"/>
        </w:rPr>
        <w:t>.  </w:t>
      </w:r>
      <w:r w:rsidRPr="007772C4">
        <w:rPr>
          <w:lang w:val="fr-FR"/>
        </w:rPr>
        <w:t>Le req</w:t>
      </w:r>
      <w:r w:rsidR="00D000FA" w:rsidRPr="007772C4">
        <w:rPr>
          <w:lang w:val="fr-FR"/>
        </w:rPr>
        <w:t xml:space="preserve">uérant </w:t>
      </w:r>
      <w:r w:rsidR="00B37593" w:rsidRPr="007772C4">
        <w:rPr>
          <w:lang w:val="fr-FR"/>
        </w:rPr>
        <w:t xml:space="preserve">conteste cet argument </w:t>
      </w:r>
      <w:r w:rsidR="00D000FA" w:rsidRPr="007772C4">
        <w:rPr>
          <w:lang w:val="fr-FR"/>
        </w:rPr>
        <w:t xml:space="preserve">et </w:t>
      </w:r>
      <w:r w:rsidR="00B37593" w:rsidRPr="007772C4">
        <w:rPr>
          <w:lang w:val="fr-FR"/>
        </w:rPr>
        <w:t xml:space="preserve">soutient </w:t>
      </w:r>
      <w:r w:rsidR="00D000FA" w:rsidRPr="007772C4">
        <w:rPr>
          <w:lang w:val="fr-FR"/>
        </w:rPr>
        <w:t>que</w:t>
      </w:r>
      <w:r w:rsidR="00B37593" w:rsidRPr="007772C4">
        <w:rPr>
          <w:lang w:val="fr-FR"/>
        </w:rPr>
        <w:t>,</w:t>
      </w:r>
      <w:r w:rsidR="00D000FA" w:rsidRPr="007772C4">
        <w:rPr>
          <w:lang w:val="fr-FR"/>
        </w:rPr>
        <w:t xml:space="preserve"> </w:t>
      </w:r>
      <w:r w:rsidR="00CC0416" w:rsidRPr="007772C4">
        <w:rPr>
          <w:lang w:val="fr-FR"/>
        </w:rPr>
        <w:t>même</w:t>
      </w:r>
      <w:r w:rsidRPr="007772C4">
        <w:rPr>
          <w:lang w:val="fr-FR"/>
        </w:rPr>
        <w:t xml:space="preserve"> s</w:t>
      </w:r>
      <w:r w:rsidR="007772C4" w:rsidRPr="007772C4">
        <w:rPr>
          <w:lang w:val="fr-FR"/>
        </w:rPr>
        <w:t>’</w:t>
      </w:r>
      <w:r w:rsidR="00CC0416" w:rsidRPr="007772C4">
        <w:rPr>
          <w:lang w:val="fr-FR"/>
        </w:rPr>
        <w:t>il</w:t>
      </w:r>
      <w:r w:rsidRPr="007772C4">
        <w:rPr>
          <w:lang w:val="fr-FR"/>
        </w:rPr>
        <w:t xml:space="preserve"> s</w:t>
      </w:r>
      <w:r w:rsidR="007772C4" w:rsidRPr="007772C4">
        <w:rPr>
          <w:lang w:val="fr-FR"/>
        </w:rPr>
        <w:t>’</w:t>
      </w:r>
      <w:r w:rsidRPr="007772C4">
        <w:rPr>
          <w:lang w:val="fr-FR"/>
        </w:rPr>
        <w:t>était opposé à la l</w:t>
      </w:r>
      <w:r w:rsidR="00CC0416" w:rsidRPr="007772C4">
        <w:rPr>
          <w:lang w:val="fr-FR"/>
        </w:rPr>
        <w:t>ecture des déclarations de C.C</w:t>
      </w:r>
      <w:r w:rsidR="005D6FA6" w:rsidRPr="007772C4">
        <w:rPr>
          <w:lang w:val="fr-FR"/>
        </w:rPr>
        <w:t>.</w:t>
      </w:r>
      <w:r w:rsidR="00CC0416" w:rsidRPr="007772C4">
        <w:rPr>
          <w:lang w:val="fr-FR"/>
        </w:rPr>
        <w:t xml:space="preserve">, </w:t>
      </w:r>
      <w:r w:rsidR="006431E8" w:rsidRPr="007772C4">
        <w:rPr>
          <w:lang w:val="fr-FR"/>
        </w:rPr>
        <w:t xml:space="preserve">celles-ci </w:t>
      </w:r>
      <w:r w:rsidR="000148F9" w:rsidRPr="007772C4">
        <w:rPr>
          <w:lang w:val="fr-FR"/>
        </w:rPr>
        <w:t>auraient</w:t>
      </w:r>
      <w:r w:rsidR="00CC0416" w:rsidRPr="007772C4">
        <w:rPr>
          <w:lang w:val="fr-FR"/>
        </w:rPr>
        <w:t xml:space="preserve"> </w:t>
      </w:r>
      <w:r w:rsidR="008468B3" w:rsidRPr="007772C4">
        <w:rPr>
          <w:lang w:val="fr-FR"/>
        </w:rPr>
        <w:t xml:space="preserve">de toute manière </w:t>
      </w:r>
      <w:r w:rsidR="00CC0416" w:rsidRPr="007772C4">
        <w:rPr>
          <w:lang w:val="fr-FR"/>
        </w:rPr>
        <w:t>été versées au dossier du juge.</w:t>
      </w:r>
    </w:p>
    <w:p w:rsidR="009D6D74" w:rsidRPr="007772C4" w:rsidRDefault="00D000FA" w:rsidP="007772C4">
      <w:pPr>
        <w:pStyle w:val="ECHRPara"/>
        <w:rPr>
          <w:rFonts w:ascii="Times New Roman" w:eastAsia="Times New Roman" w:hAnsi="Times New Roman" w:cs="Times New Roman"/>
          <w:szCs w:val="24"/>
          <w:lang w:val="fr-FR"/>
        </w:rPr>
      </w:pPr>
      <w:r w:rsidRPr="007772C4">
        <w:rPr>
          <w:rFonts w:ascii="Times New Roman" w:eastAsia="Times New Roman" w:hAnsi="Times New Roman" w:cs="Times New Roman"/>
          <w:szCs w:val="24"/>
          <w:lang w:val="fr-FR"/>
        </w:rPr>
        <w:fldChar w:fldCharType="begin"/>
      </w:r>
      <w:r w:rsidRPr="007772C4">
        <w:rPr>
          <w:rFonts w:ascii="Times New Roman" w:eastAsia="Times New Roman" w:hAnsi="Times New Roman" w:cs="Times New Roman"/>
          <w:szCs w:val="24"/>
          <w:lang w:val="fr-FR"/>
        </w:rPr>
        <w:instrText xml:space="preserve"> SEQ level0 \*arabic </w:instrText>
      </w:r>
      <w:r w:rsidRPr="007772C4">
        <w:rPr>
          <w:rFonts w:ascii="Times New Roman" w:eastAsia="Times New Roman" w:hAnsi="Times New Roman" w:cs="Times New Roman"/>
          <w:szCs w:val="24"/>
          <w:lang w:val="fr-FR"/>
        </w:rPr>
        <w:fldChar w:fldCharType="separate"/>
      </w:r>
      <w:r w:rsidR="007772C4" w:rsidRPr="007772C4">
        <w:rPr>
          <w:rFonts w:ascii="Times New Roman" w:eastAsia="Times New Roman" w:hAnsi="Times New Roman" w:cs="Times New Roman"/>
          <w:noProof/>
          <w:szCs w:val="24"/>
          <w:lang w:val="fr-FR"/>
        </w:rPr>
        <w:t>27</w:t>
      </w:r>
      <w:r w:rsidRPr="007772C4">
        <w:rPr>
          <w:rFonts w:ascii="Times New Roman" w:eastAsia="Times New Roman" w:hAnsi="Times New Roman" w:cs="Times New Roman"/>
          <w:szCs w:val="24"/>
          <w:lang w:val="fr-FR"/>
        </w:rPr>
        <w:fldChar w:fldCharType="end"/>
      </w:r>
      <w:r w:rsidRPr="007772C4">
        <w:rPr>
          <w:rFonts w:ascii="Times New Roman" w:eastAsia="Times New Roman" w:hAnsi="Times New Roman" w:cs="Times New Roman"/>
          <w:szCs w:val="24"/>
          <w:lang w:val="fr-FR"/>
        </w:rPr>
        <w:t>.  </w:t>
      </w:r>
      <w:proofErr w:type="gramStart"/>
      <w:r w:rsidR="00614C7D" w:rsidRPr="007772C4">
        <w:rPr>
          <w:rFonts w:ascii="Times New Roman" w:eastAsia="Times New Roman" w:hAnsi="Times New Roman" w:cs="Times New Roman"/>
          <w:szCs w:val="24"/>
          <w:lang w:val="fr-FR"/>
        </w:rPr>
        <w:t>S</w:t>
      </w:r>
      <w:r w:rsidR="007772C4" w:rsidRPr="007772C4">
        <w:rPr>
          <w:rFonts w:ascii="Times New Roman" w:eastAsia="Times New Roman" w:hAnsi="Times New Roman" w:cs="Times New Roman"/>
          <w:szCs w:val="24"/>
          <w:lang w:val="fr-FR"/>
        </w:rPr>
        <w:t>’</w:t>
      </w:r>
      <w:r w:rsidR="00614C7D" w:rsidRPr="007772C4">
        <w:rPr>
          <w:rFonts w:ascii="Times New Roman" w:eastAsia="Times New Roman" w:hAnsi="Times New Roman" w:cs="Times New Roman"/>
          <w:szCs w:val="24"/>
          <w:lang w:val="fr-FR"/>
        </w:rPr>
        <w:t>agissant de la possibilité pour le requérant de s</w:t>
      </w:r>
      <w:r w:rsidR="007772C4" w:rsidRPr="007772C4">
        <w:rPr>
          <w:rFonts w:ascii="Times New Roman" w:eastAsia="Times New Roman" w:hAnsi="Times New Roman" w:cs="Times New Roman"/>
          <w:szCs w:val="24"/>
          <w:lang w:val="fr-FR"/>
        </w:rPr>
        <w:t>’</w:t>
      </w:r>
      <w:r w:rsidR="00614C7D" w:rsidRPr="007772C4">
        <w:rPr>
          <w:rFonts w:ascii="Times New Roman" w:eastAsia="Times New Roman" w:hAnsi="Times New Roman" w:cs="Times New Roman"/>
          <w:szCs w:val="24"/>
          <w:lang w:val="fr-FR"/>
        </w:rPr>
        <w:t>opposer à la lecture des déclarations litigieuses, l</w:t>
      </w:r>
      <w:r w:rsidR="006431E8" w:rsidRPr="007772C4">
        <w:rPr>
          <w:rFonts w:ascii="Times New Roman" w:eastAsia="Times New Roman" w:hAnsi="Times New Roman" w:cs="Times New Roman"/>
          <w:szCs w:val="24"/>
          <w:lang w:val="fr-FR"/>
        </w:rPr>
        <w:t>a Cour rappelle que, aux</w:t>
      </w:r>
      <w:r w:rsidR="009D6D74" w:rsidRPr="007772C4">
        <w:rPr>
          <w:rFonts w:ascii="Times New Roman" w:eastAsia="Times New Roman" w:hAnsi="Times New Roman" w:cs="Times New Roman"/>
          <w:szCs w:val="24"/>
          <w:lang w:val="fr-FR"/>
        </w:rPr>
        <w:t xml:space="preserve"> termes de sa jurisprudence, ni la lettre ni l</w:t>
      </w:r>
      <w:r w:rsidR="007772C4" w:rsidRPr="007772C4">
        <w:rPr>
          <w:rFonts w:ascii="Times New Roman" w:eastAsia="Times New Roman" w:hAnsi="Times New Roman" w:cs="Times New Roman"/>
          <w:szCs w:val="24"/>
          <w:lang w:val="fr-FR"/>
        </w:rPr>
        <w:t>’</w:t>
      </w:r>
      <w:r w:rsidR="009D6D74" w:rsidRPr="007772C4">
        <w:rPr>
          <w:rFonts w:ascii="Times New Roman" w:eastAsia="Times New Roman" w:hAnsi="Times New Roman" w:cs="Times New Roman"/>
          <w:szCs w:val="24"/>
          <w:lang w:val="fr-FR"/>
        </w:rPr>
        <w:t>esprit de l</w:t>
      </w:r>
      <w:r w:rsidR="007772C4" w:rsidRPr="007772C4">
        <w:rPr>
          <w:rFonts w:ascii="Times New Roman" w:eastAsia="Times New Roman" w:hAnsi="Times New Roman" w:cs="Times New Roman"/>
          <w:szCs w:val="24"/>
          <w:lang w:val="fr-FR"/>
        </w:rPr>
        <w:t>’</w:t>
      </w:r>
      <w:r w:rsidR="009D6D74" w:rsidRPr="007772C4">
        <w:rPr>
          <w:rFonts w:ascii="Times New Roman" w:eastAsia="Times New Roman" w:hAnsi="Times New Roman" w:cs="Times New Roman"/>
          <w:szCs w:val="24"/>
          <w:lang w:val="fr-FR"/>
        </w:rPr>
        <w:t>article 6 §§ 1 et 3 d) de la Convention n</w:t>
      </w:r>
      <w:r w:rsidR="007772C4" w:rsidRPr="007772C4">
        <w:rPr>
          <w:rFonts w:ascii="Times New Roman" w:eastAsia="Times New Roman" w:hAnsi="Times New Roman" w:cs="Times New Roman"/>
          <w:szCs w:val="24"/>
          <w:lang w:val="fr-FR"/>
        </w:rPr>
        <w:t>’</w:t>
      </w:r>
      <w:r w:rsidR="009D6D74" w:rsidRPr="007772C4">
        <w:rPr>
          <w:rFonts w:ascii="Times New Roman" w:eastAsia="Times New Roman" w:hAnsi="Times New Roman" w:cs="Times New Roman"/>
          <w:szCs w:val="24"/>
          <w:lang w:val="fr-FR"/>
        </w:rPr>
        <w:t xml:space="preserve">empêchent une personne de renoncer de son plein gré aux garanties </w:t>
      </w:r>
      <w:r w:rsidR="00614C7D" w:rsidRPr="007772C4">
        <w:rPr>
          <w:rFonts w:ascii="Times New Roman" w:eastAsia="Times New Roman" w:hAnsi="Times New Roman" w:cs="Times New Roman"/>
          <w:szCs w:val="24"/>
          <w:lang w:val="fr-FR"/>
        </w:rPr>
        <w:t>d</w:t>
      </w:r>
      <w:r w:rsidR="007772C4" w:rsidRPr="007772C4">
        <w:rPr>
          <w:rFonts w:ascii="Times New Roman" w:eastAsia="Times New Roman" w:hAnsi="Times New Roman" w:cs="Times New Roman"/>
          <w:szCs w:val="24"/>
          <w:lang w:val="fr-FR"/>
        </w:rPr>
        <w:t>’</w:t>
      </w:r>
      <w:r w:rsidR="00614C7D" w:rsidRPr="007772C4">
        <w:rPr>
          <w:rFonts w:ascii="Times New Roman" w:eastAsia="Times New Roman" w:hAnsi="Times New Roman" w:cs="Times New Roman"/>
          <w:szCs w:val="24"/>
          <w:lang w:val="fr-FR"/>
        </w:rPr>
        <w:t>un procès équitable</w:t>
      </w:r>
      <w:r w:rsidR="009D6D74" w:rsidRPr="007772C4">
        <w:rPr>
          <w:rFonts w:ascii="Times New Roman" w:eastAsia="Times New Roman" w:hAnsi="Times New Roman" w:cs="Times New Roman"/>
          <w:szCs w:val="24"/>
          <w:lang w:val="fr-FR"/>
        </w:rPr>
        <w:t xml:space="preserve"> de manière expresse ou tacite, mais </w:t>
      </w:r>
      <w:r w:rsidR="00614C7D" w:rsidRPr="007772C4">
        <w:rPr>
          <w:rFonts w:ascii="Times New Roman" w:eastAsia="Times New Roman" w:hAnsi="Times New Roman" w:cs="Times New Roman"/>
          <w:szCs w:val="24"/>
          <w:lang w:val="fr-FR"/>
        </w:rPr>
        <w:t xml:space="preserve">que </w:t>
      </w:r>
      <w:r w:rsidR="009D6D74" w:rsidRPr="007772C4">
        <w:rPr>
          <w:rFonts w:ascii="Times New Roman" w:eastAsia="Times New Roman" w:hAnsi="Times New Roman" w:cs="Times New Roman"/>
          <w:szCs w:val="24"/>
          <w:lang w:val="fr-FR"/>
        </w:rPr>
        <w:t xml:space="preserve">pareille renonciation doit être non équivoque et ne se heurter à aucun intérêt </w:t>
      </w:r>
      <w:r w:rsidR="009D6D74" w:rsidRPr="007772C4">
        <w:rPr>
          <w:rFonts w:ascii="Times New Roman" w:eastAsia="Times New Roman" w:hAnsi="Times New Roman" w:cs="Times New Roman"/>
          <w:szCs w:val="24"/>
          <w:lang w:val="fr-FR"/>
        </w:rPr>
        <w:lastRenderedPageBreak/>
        <w:t>public important (</w:t>
      </w:r>
      <w:proofErr w:type="spellStart"/>
      <w:r w:rsidR="009D6D74" w:rsidRPr="007772C4">
        <w:rPr>
          <w:rFonts w:ascii="Times New Roman" w:eastAsia="Times New Roman" w:hAnsi="Times New Roman" w:cs="Times New Roman"/>
          <w:i/>
          <w:szCs w:val="24"/>
          <w:lang w:val="fr-FR"/>
        </w:rPr>
        <w:t>Håkansson</w:t>
      </w:r>
      <w:proofErr w:type="spellEnd"/>
      <w:r w:rsidR="009D6D74" w:rsidRPr="007772C4">
        <w:rPr>
          <w:rFonts w:ascii="Times New Roman" w:eastAsia="Times New Roman" w:hAnsi="Times New Roman" w:cs="Times New Roman"/>
          <w:i/>
          <w:szCs w:val="24"/>
          <w:lang w:val="fr-FR"/>
        </w:rPr>
        <w:t xml:space="preserve"> et </w:t>
      </w:r>
      <w:proofErr w:type="spellStart"/>
      <w:r w:rsidR="009D6D74" w:rsidRPr="007772C4">
        <w:rPr>
          <w:rFonts w:ascii="Times New Roman" w:eastAsia="Times New Roman" w:hAnsi="Times New Roman" w:cs="Times New Roman"/>
          <w:i/>
          <w:szCs w:val="24"/>
          <w:lang w:val="fr-FR"/>
        </w:rPr>
        <w:t>Sturesson</w:t>
      </w:r>
      <w:proofErr w:type="spellEnd"/>
      <w:r w:rsidR="009D6D74" w:rsidRPr="007772C4">
        <w:rPr>
          <w:rFonts w:ascii="Times New Roman" w:eastAsia="Times New Roman" w:hAnsi="Times New Roman" w:cs="Times New Roman"/>
          <w:szCs w:val="24"/>
          <w:lang w:val="fr-FR"/>
        </w:rPr>
        <w:t xml:space="preserve"> </w:t>
      </w:r>
      <w:r w:rsidR="009D6D74" w:rsidRPr="007772C4">
        <w:rPr>
          <w:rFonts w:ascii="Times New Roman" w:eastAsia="Times New Roman" w:hAnsi="Times New Roman" w:cs="Times New Roman"/>
          <w:i/>
          <w:szCs w:val="24"/>
          <w:lang w:val="fr-FR"/>
        </w:rPr>
        <w:t>c. Suède</w:t>
      </w:r>
      <w:r w:rsidR="009D6D74" w:rsidRPr="007772C4">
        <w:rPr>
          <w:rFonts w:ascii="Times New Roman" w:eastAsia="Times New Roman" w:hAnsi="Times New Roman" w:cs="Times New Roman"/>
          <w:szCs w:val="24"/>
          <w:lang w:val="fr-FR"/>
        </w:rPr>
        <w:t>, 21 février 1990</w:t>
      </w:r>
      <w:r w:rsidR="00376820" w:rsidRPr="007772C4">
        <w:rPr>
          <w:rFonts w:ascii="Times New Roman" w:eastAsia="Times New Roman" w:hAnsi="Times New Roman" w:cs="Times New Roman"/>
          <w:szCs w:val="24"/>
          <w:lang w:val="fr-FR"/>
        </w:rPr>
        <w:t>, § 66</w:t>
      </w:r>
      <w:r w:rsidR="009D6D74" w:rsidRPr="007772C4">
        <w:rPr>
          <w:rFonts w:ascii="Times New Roman" w:eastAsia="Times New Roman" w:hAnsi="Times New Roman" w:cs="Times New Roman"/>
          <w:szCs w:val="24"/>
          <w:lang w:val="fr-FR"/>
        </w:rPr>
        <w:t>, série A n</w:t>
      </w:r>
      <w:r w:rsidR="00615CAA" w:rsidRPr="007772C4">
        <w:rPr>
          <w:rFonts w:ascii="Times New Roman" w:eastAsia="Times New Roman" w:hAnsi="Times New Roman" w:cs="Times New Roman"/>
          <w:szCs w:val="24"/>
          <w:vertAlign w:val="superscript"/>
          <w:lang w:val="fr-FR"/>
        </w:rPr>
        <w:t>o</w:t>
      </w:r>
      <w:r w:rsidR="009D6D74" w:rsidRPr="007772C4">
        <w:rPr>
          <w:rFonts w:ascii="Times New Roman" w:eastAsia="Times New Roman" w:hAnsi="Times New Roman" w:cs="Times New Roman"/>
          <w:szCs w:val="24"/>
          <w:lang w:val="fr-FR"/>
        </w:rPr>
        <w:t xml:space="preserve"> 171-A, et </w:t>
      </w:r>
      <w:proofErr w:type="spellStart"/>
      <w:r w:rsidR="009D6D74" w:rsidRPr="007772C4">
        <w:rPr>
          <w:rFonts w:ascii="Times New Roman" w:eastAsia="Times New Roman" w:hAnsi="Times New Roman" w:cs="Times New Roman"/>
          <w:i/>
          <w:szCs w:val="24"/>
          <w:lang w:val="fr-FR"/>
        </w:rPr>
        <w:t>Kwiatkowska</w:t>
      </w:r>
      <w:proofErr w:type="spellEnd"/>
      <w:r w:rsidR="009D6D74" w:rsidRPr="007772C4">
        <w:rPr>
          <w:rFonts w:ascii="Times New Roman" w:eastAsia="Times New Roman" w:hAnsi="Times New Roman" w:cs="Times New Roman"/>
          <w:i/>
          <w:szCs w:val="24"/>
          <w:lang w:val="fr-FR"/>
        </w:rPr>
        <w:t xml:space="preserve"> c. Italie </w:t>
      </w:r>
      <w:r w:rsidR="009D6D74" w:rsidRPr="007772C4">
        <w:rPr>
          <w:rFonts w:ascii="Times New Roman" w:eastAsia="Times New Roman" w:hAnsi="Times New Roman" w:cs="Times New Roman"/>
          <w:szCs w:val="24"/>
          <w:lang w:val="fr-FR"/>
        </w:rPr>
        <w:t>(déc.), n</w:t>
      </w:r>
      <w:r w:rsidR="00615CAA" w:rsidRPr="007772C4">
        <w:rPr>
          <w:rFonts w:ascii="Times New Roman" w:eastAsia="Times New Roman" w:hAnsi="Times New Roman" w:cs="Times New Roman"/>
          <w:szCs w:val="24"/>
          <w:vertAlign w:val="superscript"/>
          <w:lang w:val="fr-FR"/>
        </w:rPr>
        <w:t>o</w:t>
      </w:r>
      <w:r w:rsidR="00614C7D" w:rsidRPr="007772C4">
        <w:rPr>
          <w:rFonts w:ascii="Times New Roman" w:eastAsia="Times New Roman" w:hAnsi="Times New Roman" w:cs="Times New Roman"/>
          <w:szCs w:val="24"/>
          <w:lang w:val="fr-FR"/>
        </w:rPr>
        <w:t> </w:t>
      </w:r>
      <w:hyperlink r:id="rId14" w:anchor="{&quot;appno&quot;:[&quot;52868/99&quot;]}" w:tgtFrame="_blank" w:history="1">
        <w:r w:rsidR="009D6D74" w:rsidRPr="007772C4">
          <w:rPr>
            <w:rFonts w:ascii="Times New Roman" w:eastAsia="Times New Roman" w:hAnsi="Times New Roman" w:cs="Times New Roman"/>
            <w:szCs w:val="24"/>
            <w:lang w:val="fr-FR"/>
          </w:rPr>
          <w:t>52868/99</w:t>
        </w:r>
      </w:hyperlink>
      <w:r w:rsidR="009D6D74" w:rsidRPr="007772C4">
        <w:rPr>
          <w:rFonts w:ascii="Times New Roman" w:eastAsia="Times New Roman" w:hAnsi="Times New Roman" w:cs="Times New Roman"/>
          <w:szCs w:val="24"/>
          <w:lang w:val="fr-FR"/>
        </w:rPr>
        <w:t>, 30 novembre 2000).</w:t>
      </w:r>
      <w:proofErr w:type="gramEnd"/>
    </w:p>
    <w:p w:rsidR="00CC0416" w:rsidRPr="007772C4" w:rsidRDefault="008468B3" w:rsidP="007772C4">
      <w:pPr>
        <w:pStyle w:val="ECHRPara"/>
        <w:rPr>
          <w:rStyle w:val="CLLItalic"/>
          <w:i w:val="0"/>
          <w:iCs w:val="0"/>
        </w:rPr>
      </w:pPr>
      <w:r w:rsidRPr="007772C4">
        <w:rPr>
          <w:rFonts w:ascii="Times New Roman" w:eastAsia="Times New Roman" w:hAnsi="Times New Roman" w:cs="Times New Roman"/>
          <w:szCs w:val="24"/>
          <w:lang w:val="fr-FR"/>
        </w:rPr>
        <w:fldChar w:fldCharType="begin"/>
      </w:r>
      <w:r w:rsidRPr="007772C4">
        <w:rPr>
          <w:rFonts w:ascii="Times New Roman" w:eastAsia="Times New Roman" w:hAnsi="Times New Roman" w:cs="Times New Roman"/>
          <w:szCs w:val="24"/>
          <w:lang w:val="fr-FR"/>
        </w:rPr>
        <w:instrText xml:space="preserve"> SEQ level0 \*arabic </w:instrText>
      </w:r>
      <w:r w:rsidRPr="007772C4">
        <w:rPr>
          <w:rFonts w:ascii="Times New Roman" w:eastAsia="Times New Roman" w:hAnsi="Times New Roman" w:cs="Times New Roman"/>
          <w:szCs w:val="24"/>
          <w:lang w:val="fr-FR"/>
        </w:rPr>
        <w:fldChar w:fldCharType="separate"/>
      </w:r>
      <w:r w:rsidR="007772C4" w:rsidRPr="007772C4">
        <w:rPr>
          <w:rFonts w:ascii="Times New Roman" w:eastAsia="Times New Roman" w:hAnsi="Times New Roman" w:cs="Times New Roman"/>
          <w:noProof/>
          <w:szCs w:val="24"/>
          <w:lang w:val="fr-FR"/>
        </w:rPr>
        <w:t>28</w:t>
      </w:r>
      <w:r w:rsidRPr="007772C4">
        <w:rPr>
          <w:rFonts w:ascii="Times New Roman" w:eastAsia="Times New Roman" w:hAnsi="Times New Roman" w:cs="Times New Roman"/>
          <w:szCs w:val="24"/>
          <w:lang w:val="fr-FR"/>
        </w:rPr>
        <w:fldChar w:fldCharType="end"/>
      </w:r>
      <w:r w:rsidRPr="007772C4">
        <w:rPr>
          <w:rFonts w:ascii="Times New Roman" w:eastAsia="Times New Roman" w:hAnsi="Times New Roman" w:cs="Times New Roman"/>
          <w:szCs w:val="24"/>
          <w:lang w:val="fr-FR"/>
        </w:rPr>
        <w:t>.  </w:t>
      </w:r>
      <w:r w:rsidR="009D6D74" w:rsidRPr="007772C4">
        <w:rPr>
          <w:rFonts w:ascii="Times New Roman" w:eastAsia="Times New Roman" w:hAnsi="Times New Roman" w:cs="Times New Roman"/>
          <w:szCs w:val="24"/>
          <w:lang w:val="fr-FR"/>
        </w:rPr>
        <w:t>En l</w:t>
      </w:r>
      <w:r w:rsidR="007772C4" w:rsidRPr="007772C4">
        <w:rPr>
          <w:rFonts w:ascii="Times New Roman" w:eastAsia="Times New Roman" w:hAnsi="Times New Roman" w:cs="Times New Roman"/>
          <w:szCs w:val="24"/>
          <w:lang w:val="fr-FR"/>
        </w:rPr>
        <w:t>’</w:t>
      </w:r>
      <w:r w:rsidR="009D6D74" w:rsidRPr="007772C4">
        <w:rPr>
          <w:rFonts w:ascii="Times New Roman" w:eastAsia="Times New Roman" w:hAnsi="Times New Roman" w:cs="Times New Roman"/>
          <w:szCs w:val="24"/>
          <w:lang w:val="fr-FR"/>
        </w:rPr>
        <w:t xml:space="preserve">espèce, </w:t>
      </w:r>
      <w:r w:rsidR="005D6FA6" w:rsidRPr="007772C4">
        <w:rPr>
          <w:rFonts w:ascii="Times New Roman" w:eastAsia="Times New Roman" w:hAnsi="Times New Roman" w:cs="Times New Roman"/>
          <w:szCs w:val="24"/>
          <w:lang w:val="fr-FR"/>
        </w:rPr>
        <w:t xml:space="preserve">la Cour note que </w:t>
      </w:r>
      <w:r w:rsidR="009D6D74" w:rsidRPr="007772C4">
        <w:rPr>
          <w:rFonts w:ascii="Times New Roman" w:eastAsia="Times New Roman" w:hAnsi="Times New Roman" w:cs="Times New Roman"/>
          <w:szCs w:val="24"/>
          <w:lang w:val="fr-FR"/>
        </w:rPr>
        <w:t xml:space="preserve">les déclarations litigieuses ont été utilisées conformément à la loi </w:t>
      </w:r>
      <w:r w:rsidR="00614C7D" w:rsidRPr="007772C4">
        <w:rPr>
          <w:rFonts w:ascii="Times New Roman" w:eastAsia="Times New Roman" w:hAnsi="Times New Roman" w:cs="Times New Roman"/>
          <w:szCs w:val="24"/>
          <w:lang w:val="fr-FR"/>
        </w:rPr>
        <w:t>interne</w:t>
      </w:r>
      <w:r w:rsidR="009D6D74" w:rsidRPr="007772C4">
        <w:rPr>
          <w:rFonts w:ascii="Times New Roman" w:eastAsia="Times New Roman" w:hAnsi="Times New Roman" w:cs="Times New Roman"/>
          <w:szCs w:val="24"/>
          <w:lang w:val="fr-FR"/>
        </w:rPr>
        <w:t>, à savoir l</w:t>
      </w:r>
      <w:r w:rsidR="007772C4" w:rsidRPr="007772C4">
        <w:rPr>
          <w:rFonts w:ascii="Times New Roman" w:eastAsia="Times New Roman" w:hAnsi="Times New Roman" w:cs="Times New Roman"/>
          <w:szCs w:val="24"/>
          <w:lang w:val="fr-FR"/>
        </w:rPr>
        <w:t>’</w:t>
      </w:r>
      <w:r w:rsidR="009D6D74" w:rsidRPr="007772C4">
        <w:rPr>
          <w:rFonts w:ascii="Times New Roman" w:eastAsia="Times New Roman" w:hAnsi="Times New Roman" w:cs="Times New Roman"/>
          <w:szCs w:val="24"/>
          <w:lang w:val="fr-FR"/>
        </w:rPr>
        <w:t xml:space="preserve">article 512 du </w:t>
      </w:r>
      <w:r w:rsidR="00614C7D" w:rsidRPr="007772C4">
        <w:rPr>
          <w:rFonts w:ascii="Times New Roman" w:eastAsia="Times New Roman" w:hAnsi="Times New Roman" w:cs="Times New Roman"/>
          <w:szCs w:val="24"/>
          <w:lang w:val="fr-FR"/>
        </w:rPr>
        <w:t>CPP</w:t>
      </w:r>
      <w:r w:rsidR="009D6D74" w:rsidRPr="007772C4">
        <w:rPr>
          <w:rFonts w:ascii="Times New Roman" w:eastAsia="Times New Roman" w:hAnsi="Times New Roman" w:cs="Times New Roman"/>
          <w:szCs w:val="24"/>
          <w:lang w:val="fr-FR"/>
        </w:rPr>
        <w:t>,</w:t>
      </w:r>
      <w:r w:rsidR="00614C7D" w:rsidRPr="007772C4">
        <w:rPr>
          <w:rFonts w:ascii="Times New Roman" w:eastAsia="Times New Roman" w:hAnsi="Times New Roman" w:cs="Times New Roman"/>
          <w:szCs w:val="24"/>
          <w:lang w:val="fr-FR"/>
        </w:rPr>
        <w:t xml:space="preserve"> qui</w:t>
      </w:r>
      <w:r w:rsidR="009D6D74" w:rsidRPr="007772C4">
        <w:rPr>
          <w:rFonts w:ascii="Times New Roman" w:eastAsia="Times New Roman" w:hAnsi="Times New Roman" w:cs="Times New Roman"/>
          <w:szCs w:val="24"/>
          <w:lang w:val="fr-FR"/>
        </w:rPr>
        <w:t xml:space="preserve"> impos</w:t>
      </w:r>
      <w:r w:rsidR="00614C7D" w:rsidRPr="007772C4">
        <w:rPr>
          <w:rFonts w:ascii="Times New Roman" w:eastAsia="Times New Roman" w:hAnsi="Times New Roman" w:cs="Times New Roman"/>
          <w:szCs w:val="24"/>
          <w:lang w:val="fr-FR"/>
        </w:rPr>
        <w:t>e</w:t>
      </w:r>
      <w:r w:rsidR="009D6D74" w:rsidRPr="007772C4">
        <w:rPr>
          <w:rFonts w:ascii="Times New Roman" w:eastAsia="Times New Roman" w:hAnsi="Times New Roman" w:cs="Times New Roman"/>
          <w:szCs w:val="24"/>
          <w:lang w:val="fr-FR"/>
        </w:rPr>
        <w:t xml:space="preserve"> au juge d</w:t>
      </w:r>
      <w:r w:rsidR="007772C4" w:rsidRPr="007772C4">
        <w:rPr>
          <w:rFonts w:ascii="Times New Roman" w:eastAsia="Times New Roman" w:hAnsi="Times New Roman" w:cs="Times New Roman"/>
          <w:szCs w:val="24"/>
          <w:lang w:val="fr-FR"/>
        </w:rPr>
        <w:t>’</w:t>
      </w:r>
      <w:r w:rsidR="009D6D74" w:rsidRPr="007772C4">
        <w:rPr>
          <w:rFonts w:ascii="Times New Roman" w:eastAsia="Times New Roman" w:hAnsi="Times New Roman" w:cs="Times New Roman"/>
          <w:szCs w:val="24"/>
          <w:lang w:val="fr-FR"/>
        </w:rPr>
        <w:t>ordonner la lecture et le versement au dossier de</w:t>
      </w:r>
      <w:r w:rsidR="00614C7D" w:rsidRPr="007772C4">
        <w:rPr>
          <w:rFonts w:ascii="Times New Roman" w:eastAsia="Times New Roman" w:hAnsi="Times New Roman" w:cs="Times New Roman"/>
          <w:szCs w:val="24"/>
          <w:lang w:val="fr-FR"/>
        </w:rPr>
        <w:t>s</w:t>
      </w:r>
      <w:r w:rsidR="009D6D74" w:rsidRPr="007772C4">
        <w:rPr>
          <w:rFonts w:ascii="Times New Roman" w:eastAsia="Times New Roman" w:hAnsi="Times New Roman" w:cs="Times New Roman"/>
          <w:szCs w:val="24"/>
          <w:lang w:val="fr-FR"/>
        </w:rPr>
        <w:t xml:space="preserve"> déclarations ne p</w:t>
      </w:r>
      <w:r w:rsidR="00614C7D" w:rsidRPr="007772C4">
        <w:rPr>
          <w:rFonts w:ascii="Times New Roman" w:eastAsia="Times New Roman" w:hAnsi="Times New Roman" w:cs="Times New Roman"/>
          <w:szCs w:val="24"/>
          <w:lang w:val="fr-FR"/>
        </w:rPr>
        <w:t>o</w:t>
      </w:r>
      <w:r w:rsidR="009D6D74" w:rsidRPr="007772C4">
        <w:rPr>
          <w:rFonts w:ascii="Times New Roman" w:eastAsia="Times New Roman" w:hAnsi="Times New Roman" w:cs="Times New Roman"/>
          <w:szCs w:val="24"/>
          <w:lang w:val="fr-FR"/>
        </w:rPr>
        <w:t>uv</w:t>
      </w:r>
      <w:r w:rsidR="00614C7D" w:rsidRPr="007772C4">
        <w:rPr>
          <w:rFonts w:ascii="Times New Roman" w:eastAsia="Times New Roman" w:hAnsi="Times New Roman" w:cs="Times New Roman"/>
          <w:szCs w:val="24"/>
          <w:lang w:val="fr-FR"/>
        </w:rPr>
        <w:t>a</w:t>
      </w:r>
      <w:r w:rsidR="009D6D74" w:rsidRPr="007772C4">
        <w:rPr>
          <w:rFonts w:ascii="Times New Roman" w:eastAsia="Times New Roman" w:hAnsi="Times New Roman" w:cs="Times New Roman"/>
          <w:szCs w:val="24"/>
          <w:lang w:val="fr-FR"/>
        </w:rPr>
        <w:t xml:space="preserve">nt pas être </w:t>
      </w:r>
      <w:r w:rsidR="00614C7D" w:rsidRPr="007772C4">
        <w:rPr>
          <w:rFonts w:ascii="Times New Roman" w:eastAsia="Times New Roman" w:hAnsi="Times New Roman" w:cs="Times New Roman"/>
          <w:szCs w:val="24"/>
          <w:lang w:val="fr-FR"/>
        </w:rPr>
        <w:t>réitérées</w:t>
      </w:r>
      <w:r w:rsidR="00614C7D" w:rsidRPr="007772C4">
        <w:rPr>
          <w:lang w:val="fr-FR"/>
        </w:rPr>
        <w:t xml:space="preserve"> </w:t>
      </w:r>
      <w:r w:rsidR="00CC0416" w:rsidRPr="007772C4">
        <w:rPr>
          <w:lang w:val="fr-FR"/>
        </w:rPr>
        <w:t>en raison d</w:t>
      </w:r>
      <w:r w:rsidR="007772C4" w:rsidRPr="007772C4">
        <w:rPr>
          <w:lang w:val="fr-FR"/>
        </w:rPr>
        <w:t>’</w:t>
      </w:r>
      <w:r w:rsidR="00CC0416" w:rsidRPr="007772C4">
        <w:rPr>
          <w:lang w:val="fr-FR"/>
        </w:rPr>
        <w:t>une impossibilité objective dûment prouvée</w:t>
      </w:r>
      <w:r w:rsidR="009D6D74" w:rsidRPr="007772C4">
        <w:rPr>
          <w:rFonts w:ascii="Times New Roman" w:eastAsia="Times New Roman" w:hAnsi="Times New Roman" w:cs="Times New Roman"/>
          <w:szCs w:val="24"/>
          <w:lang w:val="fr-FR"/>
        </w:rPr>
        <w:t xml:space="preserve">. </w:t>
      </w:r>
      <w:r w:rsidR="00FA371E" w:rsidRPr="007772C4">
        <w:rPr>
          <w:rFonts w:ascii="Times New Roman" w:eastAsia="Times New Roman" w:hAnsi="Times New Roman" w:cs="Times New Roman"/>
          <w:szCs w:val="24"/>
          <w:lang w:val="fr-FR"/>
        </w:rPr>
        <w:t>Elle</w:t>
      </w:r>
      <w:r w:rsidR="00444D28" w:rsidRPr="007772C4">
        <w:rPr>
          <w:rFonts w:ascii="Times New Roman" w:eastAsia="Times New Roman" w:hAnsi="Times New Roman" w:cs="Times New Roman"/>
          <w:szCs w:val="24"/>
          <w:lang w:val="fr-FR"/>
        </w:rPr>
        <w:t xml:space="preserve"> estime donc</w:t>
      </w:r>
      <w:r w:rsidR="009D6D74" w:rsidRPr="007772C4">
        <w:rPr>
          <w:rFonts w:ascii="Times New Roman" w:eastAsia="Times New Roman" w:hAnsi="Times New Roman" w:cs="Times New Roman"/>
          <w:szCs w:val="24"/>
          <w:lang w:val="fr-FR"/>
        </w:rPr>
        <w:t xml:space="preserve"> </w:t>
      </w:r>
      <w:r w:rsidR="00444D28" w:rsidRPr="007772C4">
        <w:rPr>
          <w:rFonts w:ascii="Times New Roman" w:eastAsia="Times New Roman" w:hAnsi="Times New Roman" w:cs="Times New Roman"/>
          <w:szCs w:val="24"/>
          <w:lang w:val="fr-FR"/>
        </w:rPr>
        <w:t>qu</w:t>
      </w:r>
      <w:r w:rsidR="007772C4" w:rsidRPr="007772C4">
        <w:rPr>
          <w:rFonts w:ascii="Times New Roman" w:eastAsia="Times New Roman" w:hAnsi="Times New Roman" w:cs="Times New Roman"/>
          <w:szCs w:val="24"/>
          <w:lang w:val="fr-FR"/>
        </w:rPr>
        <w:t>’</w:t>
      </w:r>
      <w:r w:rsidR="00444D28" w:rsidRPr="007772C4">
        <w:rPr>
          <w:rFonts w:ascii="Times New Roman" w:eastAsia="Times New Roman" w:hAnsi="Times New Roman" w:cs="Times New Roman"/>
          <w:szCs w:val="24"/>
          <w:lang w:val="fr-FR"/>
        </w:rPr>
        <w:t>une</w:t>
      </w:r>
      <w:r w:rsidR="009D6D74" w:rsidRPr="007772C4">
        <w:rPr>
          <w:rFonts w:ascii="Times New Roman" w:eastAsia="Times New Roman" w:hAnsi="Times New Roman" w:cs="Times New Roman"/>
          <w:szCs w:val="24"/>
          <w:lang w:val="fr-FR"/>
        </w:rPr>
        <w:t xml:space="preserve"> éventuelle opposition du requérant au versement au dossier</w:t>
      </w:r>
      <w:r w:rsidR="00444D28" w:rsidRPr="007772C4">
        <w:rPr>
          <w:rFonts w:ascii="Times New Roman" w:eastAsia="Times New Roman" w:hAnsi="Times New Roman" w:cs="Times New Roman"/>
          <w:szCs w:val="24"/>
          <w:lang w:val="fr-FR"/>
        </w:rPr>
        <w:t xml:space="preserve"> </w:t>
      </w:r>
      <w:r w:rsidR="009D6D74" w:rsidRPr="007772C4">
        <w:rPr>
          <w:rFonts w:ascii="Times New Roman" w:eastAsia="Times New Roman" w:hAnsi="Times New Roman" w:cs="Times New Roman"/>
          <w:szCs w:val="24"/>
          <w:lang w:val="fr-FR"/>
        </w:rPr>
        <w:t xml:space="preserve">des </w:t>
      </w:r>
      <w:r w:rsidR="00CC0416" w:rsidRPr="007772C4">
        <w:rPr>
          <w:rFonts w:ascii="Times New Roman" w:eastAsia="Times New Roman" w:hAnsi="Times New Roman" w:cs="Times New Roman"/>
          <w:szCs w:val="24"/>
          <w:lang w:val="fr-FR"/>
        </w:rPr>
        <w:t>procès-verbaux</w:t>
      </w:r>
      <w:r w:rsidR="009D6D74" w:rsidRPr="007772C4">
        <w:rPr>
          <w:rFonts w:ascii="Times New Roman" w:eastAsia="Times New Roman" w:hAnsi="Times New Roman" w:cs="Times New Roman"/>
          <w:szCs w:val="24"/>
          <w:lang w:val="fr-FR"/>
        </w:rPr>
        <w:t xml:space="preserve"> en question aurait eu peu de chances de succès. </w:t>
      </w:r>
      <w:r w:rsidR="00064A95" w:rsidRPr="007772C4">
        <w:rPr>
          <w:rFonts w:ascii="Times New Roman" w:eastAsia="Times New Roman" w:hAnsi="Times New Roman" w:cs="Times New Roman"/>
          <w:szCs w:val="24"/>
          <w:lang w:val="fr-FR"/>
        </w:rPr>
        <w:t>En tout état de cause, le</w:t>
      </w:r>
      <w:r w:rsidR="009D6D74" w:rsidRPr="007772C4">
        <w:rPr>
          <w:rFonts w:ascii="Times New Roman" w:eastAsia="Times New Roman" w:hAnsi="Times New Roman" w:cs="Times New Roman"/>
          <w:szCs w:val="24"/>
          <w:lang w:val="fr-FR"/>
        </w:rPr>
        <w:t xml:space="preserve"> fait de ne pas avoir soulevé d</w:t>
      </w:r>
      <w:r w:rsidR="007772C4" w:rsidRPr="007772C4">
        <w:rPr>
          <w:rFonts w:ascii="Times New Roman" w:eastAsia="Times New Roman" w:hAnsi="Times New Roman" w:cs="Times New Roman"/>
          <w:szCs w:val="24"/>
          <w:lang w:val="fr-FR"/>
        </w:rPr>
        <w:t>’</w:t>
      </w:r>
      <w:r w:rsidR="009D6D74" w:rsidRPr="007772C4">
        <w:rPr>
          <w:rFonts w:ascii="Times New Roman" w:eastAsia="Times New Roman" w:hAnsi="Times New Roman" w:cs="Times New Roman"/>
          <w:szCs w:val="24"/>
          <w:lang w:val="fr-FR"/>
        </w:rPr>
        <w:t>exception formelle lors des débats ne saurait être interprété comme une renonciation tacite au droit d</w:t>
      </w:r>
      <w:r w:rsidR="007772C4" w:rsidRPr="007772C4">
        <w:rPr>
          <w:rFonts w:ascii="Times New Roman" w:eastAsia="Times New Roman" w:hAnsi="Times New Roman" w:cs="Times New Roman"/>
          <w:szCs w:val="24"/>
          <w:lang w:val="fr-FR"/>
        </w:rPr>
        <w:t>’</w:t>
      </w:r>
      <w:r w:rsidR="009D6D74" w:rsidRPr="007772C4">
        <w:rPr>
          <w:rFonts w:ascii="Times New Roman" w:eastAsia="Times New Roman" w:hAnsi="Times New Roman" w:cs="Times New Roman"/>
          <w:szCs w:val="24"/>
          <w:lang w:val="fr-FR"/>
        </w:rPr>
        <w:t>interroger ou de faire interroger les témoins à charge (</w:t>
      </w:r>
      <w:r w:rsidR="009D6D74" w:rsidRPr="007772C4">
        <w:rPr>
          <w:rFonts w:ascii="Times New Roman" w:eastAsia="Times New Roman" w:hAnsi="Times New Roman" w:cs="Times New Roman"/>
          <w:i/>
          <w:szCs w:val="24"/>
          <w:lang w:val="fr-FR"/>
        </w:rPr>
        <w:t>Craxi c. Italie</w:t>
      </w:r>
      <w:r w:rsidR="009D6D74" w:rsidRPr="007772C4">
        <w:rPr>
          <w:rFonts w:ascii="Times New Roman" w:eastAsia="Times New Roman" w:hAnsi="Times New Roman" w:cs="Times New Roman"/>
          <w:szCs w:val="24"/>
          <w:lang w:val="fr-FR"/>
        </w:rPr>
        <w:t>, n</w:t>
      </w:r>
      <w:r w:rsidR="00615CAA" w:rsidRPr="007772C4">
        <w:rPr>
          <w:rFonts w:ascii="Times New Roman" w:eastAsia="Times New Roman" w:hAnsi="Times New Roman" w:cs="Times New Roman"/>
          <w:szCs w:val="24"/>
          <w:vertAlign w:val="superscript"/>
          <w:lang w:val="fr-FR"/>
        </w:rPr>
        <w:t>o</w:t>
      </w:r>
      <w:r w:rsidR="009D6D74" w:rsidRPr="007772C4">
        <w:rPr>
          <w:rFonts w:ascii="Times New Roman" w:eastAsia="Times New Roman" w:hAnsi="Times New Roman" w:cs="Times New Roman"/>
          <w:szCs w:val="24"/>
          <w:lang w:val="fr-FR"/>
        </w:rPr>
        <w:t xml:space="preserve"> </w:t>
      </w:r>
      <w:hyperlink r:id="rId15" w:anchor="{&quot;appno&quot;:[&quot;34896/97&quot;]}" w:tgtFrame="_blank" w:history="1">
        <w:r w:rsidR="009D6D74" w:rsidRPr="007772C4">
          <w:rPr>
            <w:rFonts w:ascii="Times New Roman" w:eastAsia="Times New Roman" w:hAnsi="Times New Roman" w:cs="Times New Roman"/>
            <w:szCs w:val="24"/>
            <w:lang w:val="fr-FR"/>
          </w:rPr>
          <w:t>34896/97</w:t>
        </w:r>
      </w:hyperlink>
      <w:r w:rsidR="009D6D74" w:rsidRPr="007772C4">
        <w:rPr>
          <w:rFonts w:ascii="Times New Roman" w:eastAsia="Times New Roman" w:hAnsi="Times New Roman" w:cs="Times New Roman"/>
          <w:szCs w:val="24"/>
          <w:lang w:val="fr-FR"/>
        </w:rPr>
        <w:t>, 5 décembre 2002</w:t>
      </w:r>
      <w:r w:rsidR="00444D28" w:rsidRPr="007772C4">
        <w:rPr>
          <w:rFonts w:ascii="Times New Roman" w:eastAsia="Times New Roman" w:hAnsi="Times New Roman" w:cs="Times New Roman"/>
          <w:szCs w:val="24"/>
          <w:lang w:val="fr-FR"/>
        </w:rPr>
        <w:t>,</w:t>
      </w:r>
      <w:r w:rsidR="009D6D74" w:rsidRPr="007772C4">
        <w:rPr>
          <w:rFonts w:ascii="Times New Roman" w:eastAsia="Times New Roman" w:hAnsi="Times New Roman" w:cs="Times New Roman"/>
          <w:szCs w:val="24"/>
          <w:lang w:val="fr-FR"/>
        </w:rPr>
        <w:t xml:space="preserve"> </w:t>
      </w:r>
      <w:proofErr w:type="spellStart"/>
      <w:r w:rsidR="007772C4" w:rsidRPr="007772C4">
        <w:rPr>
          <w:rFonts w:ascii="Times New Roman" w:eastAsia="Times New Roman" w:hAnsi="Times New Roman" w:cs="Times New Roman"/>
          <w:i/>
          <w:szCs w:val="24"/>
          <w:lang w:val="fr-FR"/>
        </w:rPr>
        <w:t>Bracci</w:t>
      </w:r>
      <w:proofErr w:type="spellEnd"/>
      <w:r w:rsidR="007772C4" w:rsidRPr="007772C4">
        <w:rPr>
          <w:rFonts w:ascii="Times New Roman" w:eastAsia="Times New Roman" w:hAnsi="Times New Roman" w:cs="Times New Roman"/>
          <w:i/>
          <w:szCs w:val="24"/>
          <w:lang w:val="fr-FR"/>
        </w:rPr>
        <w:t xml:space="preserve"> c. </w:t>
      </w:r>
      <w:r w:rsidR="009D6D74" w:rsidRPr="007772C4">
        <w:rPr>
          <w:rFonts w:ascii="Times New Roman" w:eastAsia="Times New Roman" w:hAnsi="Times New Roman" w:cs="Times New Roman"/>
          <w:i/>
          <w:szCs w:val="24"/>
          <w:lang w:val="fr-FR"/>
        </w:rPr>
        <w:t>Italie</w:t>
      </w:r>
      <w:r w:rsidR="009D6D74" w:rsidRPr="007772C4">
        <w:rPr>
          <w:rFonts w:ascii="Times New Roman" w:eastAsia="Times New Roman" w:hAnsi="Times New Roman" w:cs="Times New Roman"/>
          <w:szCs w:val="24"/>
          <w:lang w:val="fr-FR"/>
        </w:rPr>
        <w:t xml:space="preserve"> (déc</w:t>
      </w:r>
      <w:r w:rsidR="00E600FE" w:rsidRPr="007772C4">
        <w:rPr>
          <w:rFonts w:ascii="Times New Roman" w:eastAsia="Times New Roman" w:hAnsi="Times New Roman" w:cs="Times New Roman"/>
          <w:szCs w:val="24"/>
          <w:lang w:val="fr-FR"/>
        </w:rPr>
        <w:t>.</w:t>
      </w:r>
      <w:r w:rsidR="009D6D74" w:rsidRPr="007772C4">
        <w:rPr>
          <w:rFonts w:ascii="Times New Roman" w:eastAsia="Times New Roman" w:hAnsi="Times New Roman" w:cs="Times New Roman"/>
          <w:szCs w:val="24"/>
          <w:lang w:val="fr-FR"/>
        </w:rPr>
        <w:t>), n</w:t>
      </w:r>
      <w:r w:rsidR="00615CAA" w:rsidRPr="007772C4">
        <w:rPr>
          <w:rFonts w:ascii="Times New Roman" w:eastAsia="Times New Roman" w:hAnsi="Times New Roman" w:cs="Times New Roman"/>
          <w:szCs w:val="24"/>
          <w:vertAlign w:val="superscript"/>
          <w:lang w:val="fr-FR"/>
        </w:rPr>
        <w:t>o</w:t>
      </w:r>
      <w:r w:rsidR="009D6D74" w:rsidRPr="007772C4">
        <w:rPr>
          <w:rFonts w:ascii="Times New Roman" w:eastAsia="Times New Roman" w:hAnsi="Times New Roman" w:cs="Times New Roman"/>
          <w:szCs w:val="24"/>
          <w:lang w:val="fr-FR"/>
        </w:rPr>
        <w:t xml:space="preserve"> </w:t>
      </w:r>
      <w:hyperlink r:id="rId16" w:anchor="{&quot;appno&quot;:[&quot;36822/02&quot;]}" w:tgtFrame="_blank" w:history="1">
        <w:r w:rsidR="009D6D74" w:rsidRPr="007772C4">
          <w:rPr>
            <w:rFonts w:ascii="Times New Roman" w:eastAsia="Times New Roman" w:hAnsi="Times New Roman" w:cs="Times New Roman"/>
            <w:szCs w:val="24"/>
            <w:lang w:val="fr-FR"/>
          </w:rPr>
          <w:t>36822/02</w:t>
        </w:r>
      </w:hyperlink>
      <w:r w:rsidR="009D6D74" w:rsidRPr="007772C4">
        <w:rPr>
          <w:rFonts w:ascii="Times New Roman" w:eastAsia="Times New Roman" w:hAnsi="Times New Roman" w:cs="Times New Roman"/>
          <w:szCs w:val="24"/>
          <w:lang w:val="fr-FR"/>
        </w:rPr>
        <w:t>, 2 décembre 2004</w:t>
      </w:r>
      <w:r w:rsidR="00444D28" w:rsidRPr="007772C4">
        <w:rPr>
          <w:lang w:val="fr-FR"/>
        </w:rPr>
        <w:t xml:space="preserve">, et </w:t>
      </w:r>
      <w:proofErr w:type="spellStart"/>
      <w:r w:rsidR="00DB0D6E" w:rsidRPr="007772C4">
        <w:rPr>
          <w:rStyle w:val="CLLItalic"/>
          <w:rFonts w:cs="Times New Roman"/>
        </w:rPr>
        <w:t>Majadallah</w:t>
      </w:r>
      <w:proofErr w:type="spellEnd"/>
      <w:r w:rsidR="00DB0D6E" w:rsidRPr="007772C4">
        <w:rPr>
          <w:rStyle w:val="CLLItalic"/>
          <w:rFonts w:cs="Times New Roman"/>
        </w:rPr>
        <w:t xml:space="preserve"> c. </w:t>
      </w:r>
      <w:r w:rsidR="00E600FE" w:rsidRPr="007772C4">
        <w:rPr>
          <w:rStyle w:val="CLLItalic"/>
          <w:rFonts w:cs="Times New Roman"/>
        </w:rPr>
        <w:t>Italie</w:t>
      </w:r>
      <w:r w:rsidR="00664FB3" w:rsidRPr="007772C4">
        <w:rPr>
          <w:rFonts w:ascii="Times New Roman" w:eastAsia="Times New Roman" w:hAnsi="Times New Roman" w:cs="Times New Roman"/>
          <w:szCs w:val="24"/>
          <w:lang w:val="fr-FR"/>
        </w:rPr>
        <w:t xml:space="preserve"> (déc.),</w:t>
      </w:r>
      <w:r w:rsidR="00E600FE" w:rsidRPr="007772C4">
        <w:rPr>
          <w:lang w:val="fr-FR"/>
        </w:rPr>
        <w:t xml:space="preserve"> n</w:t>
      </w:r>
      <w:r w:rsidR="00E600FE" w:rsidRPr="007772C4">
        <w:rPr>
          <w:rStyle w:val="CLLSuperscript"/>
          <w:rFonts w:cs="Times New Roman"/>
        </w:rPr>
        <w:t>o</w:t>
      </w:r>
      <w:r w:rsidR="007772C4" w:rsidRPr="007772C4">
        <w:rPr>
          <w:rStyle w:val="CLLSuperscript"/>
          <w:rFonts w:cs="Times New Roman"/>
        </w:rPr>
        <w:t> </w:t>
      </w:r>
      <w:r w:rsidR="00E00E81" w:rsidRPr="007772C4">
        <w:rPr>
          <w:lang w:val="fr-FR"/>
        </w:rPr>
        <w:t>62094/00</w:t>
      </w:r>
      <w:r w:rsidR="00E600FE" w:rsidRPr="007772C4">
        <w:rPr>
          <w:lang w:val="fr-FR"/>
        </w:rPr>
        <w:t xml:space="preserve">, 19 </w:t>
      </w:r>
      <w:r w:rsidR="00664FB3" w:rsidRPr="007772C4">
        <w:rPr>
          <w:lang w:val="fr-FR"/>
        </w:rPr>
        <w:t>mai</w:t>
      </w:r>
      <w:r w:rsidR="00E600FE" w:rsidRPr="007772C4">
        <w:rPr>
          <w:lang w:val="fr-FR"/>
        </w:rPr>
        <w:t xml:space="preserve"> 200</w:t>
      </w:r>
      <w:r w:rsidR="00664FB3" w:rsidRPr="007772C4">
        <w:rPr>
          <w:lang w:val="fr-FR"/>
        </w:rPr>
        <w:t>5</w:t>
      </w:r>
      <w:r w:rsidR="009D6D74" w:rsidRPr="007772C4">
        <w:rPr>
          <w:rFonts w:ascii="Times New Roman" w:eastAsia="Times New Roman" w:hAnsi="Times New Roman" w:cs="Times New Roman"/>
          <w:szCs w:val="24"/>
          <w:lang w:val="fr-FR"/>
        </w:rPr>
        <w:t>).</w:t>
      </w:r>
    </w:p>
    <w:p w:rsidR="009D6D74" w:rsidRPr="007772C4" w:rsidRDefault="00CC0416" w:rsidP="007772C4">
      <w:pPr>
        <w:pStyle w:val="ECHRPara"/>
        <w:rPr>
          <w:lang w:val="fr-FR"/>
        </w:rPr>
      </w:pPr>
      <w:r w:rsidRPr="007772C4">
        <w:rPr>
          <w:rFonts w:ascii="Times New Roman" w:eastAsia="Times New Roman" w:hAnsi="Times New Roman" w:cs="Times New Roman"/>
          <w:szCs w:val="24"/>
          <w:lang w:val="fr-FR"/>
        </w:rPr>
        <w:fldChar w:fldCharType="begin"/>
      </w:r>
      <w:r w:rsidRPr="007772C4">
        <w:rPr>
          <w:rFonts w:ascii="Times New Roman" w:eastAsia="Times New Roman" w:hAnsi="Times New Roman" w:cs="Times New Roman"/>
          <w:szCs w:val="24"/>
          <w:lang w:val="fr-FR"/>
        </w:rPr>
        <w:instrText xml:space="preserve"> SEQ level0 \*arabic </w:instrText>
      </w:r>
      <w:r w:rsidRPr="007772C4">
        <w:rPr>
          <w:rFonts w:ascii="Times New Roman" w:eastAsia="Times New Roman" w:hAnsi="Times New Roman" w:cs="Times New Roman"/>
          <w:szCs w:val="24"/>
          <w:lang w:val="fr-FR"/>
        </w:rPr>
        <w:fldChar w:fldCharType="separate"/>
      </w:r>
      <w:r w:rsidR="007772C4" w:rsidRPr="007772C4">
        <w:rPr>
          <w:rFonts w:ascii="Times New Roman" w:eastAsia="Times New Roman" w:hAnsi="Times New Roman" w:cs="Times New Roman"/>
          <w:noProof/>
          <w:szCs w:val="24"/>
          <w:lang w:val="fr-FR"/>
        </w:rPr>
        <w:t>29</w:t>
      </w:r>
      <w:r w:rsidRPr="007772C4">
        <w:rPr>
          <w:rFonts w:ascii="Times New Roman" w:eastAsia="Times New Roman" w:hAnsi="Times New Roman" w:cs="Times New Roman"/>
          <w:szCs w:val="24"/>
          <w:lang w:val="fr-FR"/>
        </w:rPr>
        <w:fldChar w:fldCharType="end"/>
      </w:r>
      <w:r w:rsidRPr="007772C4">
        <w:rPr>
          <w:rFonts w:ascii="Times New Roman" w:eastAsia="Times New Roman" w:hAnsi="Times New Roman" w:cs="Times New Roman"/>
          <w:szCs w:val="24"/>
          <w:lang w:val="fr-FR"/>
        </w:rPr>
        <w:t>.  </w:t>
      </w:r>
      <w:r w:rsidR="009D6D74" w:rsidRPr="007772C4">
        <w:rPr>
          <w:rFonts w:ascii="Times New Roman" w:eastAsia="Times New Roman" w:hAnsi="Times New Roman" w:cs="Times New Roman"/>
          <w:szCs w:val="24"/>
          <w:lang w:val="fr-FR"/>
        </w:rPr>
        <w:t>Il s</w:t>
      </w:r>
      <w:r w:rsidR="007772C4" w:rsidRPr="007772C4">
        <w:rPr>
          <w:rFonts w:ascii="Times New Roman" w:eastAsia="Times New Roman" w:hAnsi="Times New Roman" w:cs="Times New Roman"/>
          <w:szCs w:val="24"/>
          <w:lang w:val="fr-FR"/>
        </w:rPr>
        <w:t>’</w:t>
      </w:r>
      <w:r w:rsidR="009D6D74" w:rsidRPr="007772C4">
        <w:rPr>
          <w:rFonts w:ascii="Times New Roman" w:eastAsia="Times New Roman" w:hAnsi="Times New Roman" w:cs="Times New Roman"/>
          <w:szCs w:val="24"/>
          <w:lang w:val="fr-FR"/>
        </w:rPr>
        <w:t>ensuit que l</w:t>
      </w:r>
      <w:r w:rsidR="007772C4" w:rsidRPr="007772C4">
        <w:rPr>
          <w:rFonts w:ascii="Times New Roman" w:eastAsia="Times New Roman" w:hAnsi="Times New Roman" w:cs="Times New Roman"/>
          <w:szCs w:val="24"/>
          <w:lang w:val="fr-FR"/>
        </w:rPr>
        <w:t>’</w:t>
      </w:r>
      <w:r w:rsidR="009D6D74" w:rsidRPr="007772C4">
        <w:rPr>
          <w:rFonts w:ascii="Times New Roman" w:eastAsia="Times New Roman" w:hAnsi="Times New Roman" w:cs="Times New Roman"/>
          <w:szCs w:val="24"/>
          <w:lang w:val="fr-FR"/>
        </w:rPr>
        <w:t>exce</w:t>
      </w:r>
      <w:r w:rsidR="00D000FA" w:rsidRPr="007772C4">
        <w:rPr>
          <w:rFonts w:ascii="Times New Roman" w:eastAsia="Times New Roman" w:hAnsi="Times New Roman" w:cs="Times New Roman"/>
          <w:szCs w:val="24"/>
          <w:lang w:val="fr-FR"/>
        </w:rPr>
        <w:t>ption préliminaire tirée du non-</w:t>
      </w:r>
      <w:r w:rsidR="009D6D74" w:rsidRPr="007772C4">
        <w:rPr>
          <w:rFonts w:ascii="Times New Roman" w:eastAsia="Times New Roman" w:hAnsi="Times New Roman" w:cs="Times New Roman"/>
          <w:szCs w:val="24"/>
          <w:lang w:val="fr-FR"/>
        </w:rPr>
        <w:t xml:space="preserve">épuisement des voies de recours internes ou </w:t>
      </w:r>
      <w:r w:rsidR="00E00E81" w:rsidRPr="007772C4">
        <w:rPr>
          <w:rFonts w:ascii="Times New Roman" w:eastAsia="Times New Roman" w:hAnsi="Times New Roman" w:cs="Times New Roman"/>
          <w:szCs w:val="24"/>
          <w:lang w:val="fr-FR"/>
        </w:rPr>
        <w:t>d</w:t>
      </w:r>
      <w:r w:rsidR="007772C4" w:rsidRPr="007772C4">
        <w:rPr>
          <w:rFonts w:ascii="Times New Roman" w:eastAsia="Times New Roman" w:hAnsi="Times New Roman" w:cs="Times New Roman"/>
          <w:szCs w:val="24"/>
          <w:lang w:val="fr-FR"/>
        </w:rPr>
        <w:t>’</w:t>
      </w:r>
      <w:r w:rsidR="00E00E81" w:rsidRPr="007772C4">
        <w:rPr>
          <w:rFonts w:ascii="Times New Roman" w:eastAsia="Times New Roman" w:hAnsi="Times New Roman" w:cs="Times New Roman"/>
          <w:szCs w:val="24"/>
          <w:lang w:val="fr-FR"/>
        </w:rPr>
        <w:t xml:space="preserve">une </w:t>
      </w:r>
      <w:r w:rsidR="009D6D74" w:rsidRPr="007772C4">
        <w:rPr>
          <w:rFonts w:ascii="Times New Roman" w:eastAsia="Times New Roman" w:hAnsi="Times New Roman" w:cs="Times New Roman"/>
          <w:szCs w:val="24"/>
          <w:lang w:val="fr-FR"/>
        </w:rPr>
        <w:t>renonciation tacite au droit invoqué devant la Cour ne peut être accueillie favorablement</w:t>
      </w:r>
      <w:r w:rsidR="005D6FA6" w:rsidRPr="007772C4">
        <w:rPr>
          <w:rFonts w:ascii="Times New Roman" w:eastAsia="Times New Roman" w:hAnsi="Times New Roman" w:cs="Times New Roman"/>
          <w:szCs w:val="24"/>
          <w:lang w:val="fr-FR"/>
        </w:rPr>
        <w:t>.</w:t>
      </w:r>
    </w:p>
    <w:p w:rsidR="00527B46" w:rsidRPr="007772C4" w:rsidRDefault="00314B2C" w:rsidP="007772C4">
      <w:pPr>
        <w:pStyle w:val="ECHRPara"/>
        <w:rPr>
          <w:lang w:val="fr-FR"/>
        </w:rPr>
      </w:pPr>
      <w:r w:rsidRPr="007772C4">
        <w:rPr>
          <w:lang w:val="fr-FR"/>
        </w:rPr>
        <w:fldChar w:fldCharType="begin"/>
      </w:r>
      <w:r w:rsidRPr="007772C4">
        <w:rPr>
          <w:lang w:val="fr-FR"/>
        </w:rPr>
        <w:instrText xml:space="preserve"> SEQ level0 \*arabic </w:instrText>
      </w:r>
      <w:r w:rsidRPr="007772C4">
        <w:rPr>
          <w:lang w:val="fr-FR"/>
        </w:rPr>
        <w:fldChar w:fldCharType="separate"/>
      </w:r>
      <w:r w:rsidR="007772C4" w:rsidRPr="007772C4">
        <w:rPr>
          <w:noProof/>
          <w:lang w:val="fr-FR"/>
        </w:rPr>
        <w:t>30</w:t>
      </w:r>
      <w:r w:rsidRPr="007772C4">
        <w:rPr>
          <w:lang w:val="fr-FR"/>
        </w:rPr>
        <w:fldChar w:fldCharType="end"/>
      </w:r>
      <w:r w:rsidR="00E77CB3" w:rsidRPr="007772C4">
        <w:rPr>
          <w:lang w:val="fr-FR"/>
        </w:rPr>
        <w:t>.  </w:t>
      </w:r>
      <w:r w:rsidR="00E00E81" w:rsidRPr="007772C4">
        <w:rPr>
          <w:lang w:val="fr-FR"/>
        </w:rPr>
        <w:t>Constatant que cette requête n</w:t>
      </w:r>
      <w:r w:rsidR="007772C4" w:rsidRPr="007772C4">
        <w:rPr>
          <w:lang w:val="fr-FR"/>
        </w:rPr>
        <w:t>’</w:t>
      </w:r>
      <w:r w:rsidR="00E00E81" w:rsidRPr="007772C4">
        <w:rPr>
          <w:lang w:val="fr-FR"/>
        </w:rPr>
        <w:t>est pas manifestement mal fondée au sens de l</w:t>
      </w:r>
      <w:r w:rsidR="007772C4" w:rsidRPr="007772C4">
        <w:rPr>
          <w:lang w:val="fr-FR"/>
        </w:rPr>
        <w:t>’</w:t>
      </w:r>
      <w:r w:rsidR="00E00E81" w:rsidRPr="007772C4">
        <w:rPr>
          <w:lang w:val="fr-FR"/>
        </w:rPr>
        <w:t>article 35 § 3 a) de la Convention et qu</w:t>
      </w:r>
      <w:r w:rsidR="007772C4" w:rsidRPr="007772C4">
        <w:rPr>
          <w:lang w:val="fr-FR"/>
        </w:rPr>
        <w:t>’</w:t>
      </w:r>
      <w:r w:rsidR="00E00E81" w:rsidRPr="007772C4">
        <w:rPr>
          <w:lang w:val="fr-FR"/>
        </w:rPr>
        <w:t>elle ne se heurte par ailleurs à aucun autre motif d</w:t>
      </w:r>
      <w:r w:rsidR="007772C4" w:rsidRPr="007772C4">
        <w:rPr>
          <w:lang w:val="fr-FR"/>
        </w:rPr>
        <w:t>’</w:t>
      </w:r>
      <w:r w:rsidR="00E00E81" w:rsidRPr="007772C4">
        <w:rPr>
          <w:lang w:val="fr-FR"/>
        </w:rPr>
        <w:t>irrecevabilité, la Cour la déclare recevable</w:t>
      </w:r>
      <w:r w:rsidR="00E77CB3" w:rsidRPr="007772C4">
        <w:rPr>
          <w:lang w:val="fr-FR"/>
        </w:rPr>
        <w:t>.</w:t>
      </w:r>
    </w:p>
    <w:p w:rsidR="00E77CB3" w:rsidRPr="007772C4" w:rsidRDefault="00E77CB3" w:rsidP="007772C4">
      <w:pPr>
        <w:pStyle w:val="ECHRHeading2"/>
        <w:rPr>
          <w:lang w:val="fr-FR"/>
        </w:rPr>
      </w:pPr>
      <w:r w:rsidRPr="007772C4">
        <w:rPr>
          <w:lang w:val="fr-FR"/>
        </w:rPr>
        <w:t>B.</w:t>
      </w:r>
      <w:proofErr w:type="gramStart"/>
      <w:r w:rsidRPr="007772C4">
        <w:rPr>
          <w:lang w:val="fr-FR"/>
        </w:rPr>
        <w:t>  Sur</w:t>
      </w:r>
      <w:proofErr w:type="gramEnd"/>
      <w:r w:rsidRPr="007772C4">
        <w:rPr>
          <w:lang w:val="fr-FR"/>
        </w:rPr>
        <w:t xml:space="preserve"> le fond</w:t>
      </w:r>
    </w:p>
    <w:p w:rsidR="00CA3FC0" w:rsidRPr="007772C4" w:rsidRDefault="00CA3FC0" w:rsidP="007772C4">
      <w:pPr>
        <w:pStyle w:val="ECHRHeading3"/>
        <w:rPr>
          <w:lang w:val="fr-FR"/>
        </w:rPr>
      </w:pPr>
      <w:r w:rsidRPr="007772C4">
        <w:rPr>
          <w:lang w:val="fr-FR"/>
        </w:rPr>
        <w:t>1.  Thèses des parties</w:t>
      </w:r>
    </w:p>
    <w:p w:rsidR="006F27FB" w:rsidRPr="007772C4" w:rsidRDefault="00AC7B68" w:rsidP="007772C4">
      <w:pPr>
        <w:pStyle w:val="ECHRPara"/>
        <w:rPr>
          <w:lang w:val="fr-FR"/>
        </w:rPr>
      </w:pPr>
      <w:r w:rsidRPr="007772C4">
        <w:rPr>
          <w:lang w:val="fr-FR"/>
        </w:rPr>
        <w:fldChar w:fldCharType="begin"/>
      </w:r>
      <w:r w:rsidRPr="007772C4">
        <w:rPr>
          <w:lang w:val="fr-FR"/>
        </w:rPr>
        <w:instrText xml:space="preserve"> SEQ level0 \*arabic </w:instrText>
      </w:r>
      <w:r w:rsidRPr="007772C4">
        <w:rPr>
          <w:lang w:val="fr-FR"/>
        </w:rPr>
        <w:fldChar w:fldCharType="separate"/>
      </w:r>
      <w:r w:rsidR="007772C4" w:rsidRPr="007772C4">
        <w:rPr>
          <w:noProof/>
          <w:lang w:val="fr-FR"/>
        </w:rPr>
        <w:t>31</w:t>
      </w:r>
      <w:r w:rsidRPr="007772C4">
        <w:rPr>
          <w:lang w:val="fr-FR"/>
        </w:rPr>
        <w:fldChar w:fldCharType="end"/>
      </w:r>
      <w:r w:rsidRPr="007772C4">
        <w:rPr>
          <w:lang w:val="fr-FR"/>
        </w:rPr>
        <w:t>.  Le requérant allègue avoir été condamné sur la base de la déposition faite aux carabiniers par C.C.</w:t>
      </w:r>
      <w:r w:rsidR="001123DE" w:rsidRPr="007772C4">
        <w:rPr>
          <w:lang w:val="fr-FR"/>
        </w:rPr>
        <w:t>,</w:t>
      </w:r>
      <w:r w:rsidRPr="007772C4">
        <w:rPr>
          <w:lang w:val="fr-FR"/>
        </w:rPr>
        <w:t xml:space="preserve"> </w:t>
      </w:r>
      <w:r w:rsidR="00602273" w:rsidRPr="007772C4">
        <w:rPr>
          <w:lang w:val="fr-FR"/>
        </w:rPr>
        <w:t xml:space="preserve">le plaignant, </w:t>
      </w:r>
      <w:r w:rsidR="009F5498" w:rsidRPr="007772C4">
        <w:rPr>
          <w:lang w:val="fr-FR"/>
        </w:rPr>
        <w:t>en l</w:t>
      </w:r>
      <w:r w:rsidR="007772C4" w:rsidRPr="007772C4">
        <w:rPr>
          <w:lang w:val="fr-FR"/>
        </w:rPr>
        <w:t>’</w:t>
      </w:r>
      <w:r w:rsidR="009F5498" w:rsidRPr="007772C4">
        <w:rPr>
          <w:lang w:val="fr-FR"/>
        </w:rPr>
        <w:t>absence d</w:t>
      </w:r>
      <w:r w:rsidR="007772C4" w:rsidRPr="007772C4">
        <w:rPr>
          <w:lang w:val="fr-FR"/>
        </w:rPr>
        <w:t>’</w:t>
      </w:r>
      <w:r w:rsidR="009F5498" w:rsidRPr="007772C4">
        <w:rPr>
          <w:lang w:val="fr-FR"/>
        </w:rPr>
        <w:t>audition de ce dernier</w:t>
      </w:r>
      <w:r w:rsidRPr="007772C4">
        <w:rPr>
          <w:lang w:val="fr-FR"/>
        </w:rPr>
        <w:t xml:space="preserve"> </w:t>
      </w:r>
      <w:r w:rsidR="00602273" w:rsidRPr="007772C4">
        <w:rPr>
          <w:lang w:val="fr-FR"/>
        </w:rPr>
        <w:t xml:space="preserve">lors des </w:t>
      </w:r>
      <w:r w:rsidRPr="007772C4">
        <w:rPr>
          <w:lang w:val="fr-FR"/>
        </w:rPr>
        <w:t xml:space="preserve">débats. </w:t>
      </w:r>
      <w:r w:rsidR="00602273" w:rsidRPr="007772C4">
        <w:rPr>
          <w:lang w:val="fr-FR"/>
        </w:rPr>
        <w:t>Il soutient qu</w:t>
      </w:r>
      <w:r w:rsidR="007772C4" w:rsidRPr="007772C4">
        <w:rPr>
          <w:lang w:val="fr-FR"/>
        </w:rPr>
        <w:t>’</w:t>
      </w:r>
      <w:r w:rsidR="00602273" w:rsidRPr="007772C4">
        <w:rPr>
          <w:lang w:val="fr-FR"/>
        </w:rPr>
        <w:t>a</w:t>
      </w:r>
      <w:r w:rsidRPr="007772C4">
        <w:rPr>
          <w:lang w:val="fr-FR"/>
        </w:rPr>
        <w:t>ucune recherch</w:t>
      </w:r>
      <w:r w:rsidR="00602273" w:rsidRPr="007772C4">
        <w:rPr>
          <w:lang w:val="fr-FR"/>
        </w:rPr>
        <w:t>e</w:t>
      </w:r>
      <w:r w:rsidRPr="007772C4">
        <w:rPr>
          <w:lang w:val="fr-FR"/>
        </w:rPr>
        <w:t xml:space="preserve"> </w:t>
      </w:r>
      <w:r w:rsidR="00602273" w:rsidRPr="007772C4">
        <w:rPr>
          <w:lang w:val="fr-FR"/>
        </w:rPr>
        <w:t>n</w:t>
      </w:r>
      <w:r w:rsidR="007772C4" w:rsidRPr="007772C4">
        <w:rPr>
          <w:lang w:val="fr-FR"/>
        </w:rPr>
        <w:t>’</w:t>
      </w:r>
      <w:r w:rsidR="00602273" w:rsidRPr="007772C4">
        <w:rPr>
          <w:lang w:val="fr-FR"/>
        </w:rPr>
        <w:t xml:space="preserve">a été faite par les autorités </w:t>
      </w:r>
      <w:r w:rsidR="008B7266" w:rsidRPr="007772C4">
        <w:rPr>
          <w:lang w:val="fr-FR"/>
        </w:rPr>
        <w:t xml:space="preserve">pour retrouver </w:t>
      </w:r>
      <w:r w:rsidR="00602273" w:rsidRPr="007772C4">
        <w:rPr>
          <w:lang w:val="fr-FR"/>
        </w:rPr>
        <w:t>C.C</w:t>
      </w:r>
      <w:r w:rsidRPr="007772C4">
        <w:rPr>
          <w:lang w:val="fr-FR"/>
        </w:rPr>
        <w:t>.</w:t>
      </w:r>
      <w:r w:rsidR="008B7266" w:rsidRPr="007772C4">
        <w:rPr>
          <w:lang w:val="fr-FR"/>
        </w:rPr>
        <w:t xml:space="preserve"> ailleurs qu</w:t>
      </w:r>
      <w:r w:rsidR="007772C4" w:rsidRPr="007772C4">
        <w:rPr>
          <w:lang w:val="fr-FR"/>
        </w:rPr>
        <w:t>’</w:t>
      </w:r>
      <w:r w:rsidR="008B7266" w:rsidRPr="007772C4">
        <w:rPr>
          <w:lang w:val="fr-FR"/>
        </w:rPr>
        <w:t>à l</w:t>
      </w:r>
      <w:r w:rsidR="007772C4" w:rsidRPr="007772C4">
        <w:rPr>
          <w:lang w:val="fr-FR"/>
        </w:rPr>
        <w:t>’</w:t>
      </w:r>
      <w:r w:rsidR="008B7266" w:rsidRPr="007772C4">
        <w:rPr>
          <w:lang w:val="fr-FR"/>
        </w:rPr>
        <w:t>adresse du domicile de ses parents.</w:t>
      </w:r>
      <w:r w:rsidR="001A26DB" w:rsidRPr="007772C4">
        <w:rPr>
          <w:lang w:val="fr-FR"/>
        </w:rPr>
        <w:t xml:space="preserve"> </w:t>
      </w:r>
      <w:r w:rsidR="00527B46" w:rsidRPr="007772C4">
        <w:rPr>
          <w:lang w:val="fr-FR"/>
        </w:rPr>
        <w:t xml:space="preserve">Selon </w:t>
      </w:r>
      <w:r w:rsidR="00070310" w:rsidRPr="007772C4">
        <w:rPr>
          <w:lang w:val="fr-FR"/>
        </w:rPr>
        <w:t>le requérant</w:t>
      </w:r>
      <w:r w:rsidR="00527B46" w:rsidRPr="007772C4">
        <w:rPr>
          <w:lang w:val="fr-FR"/>
        </w:rPr>
        <w:t xml:space="preserve">, </w:t>
      </w:r>
      <w:r w:rsidR="002F3E21" w:rsidRPr="007772C4">
        <w:rPr>
          <w:lang w:val="fr-FR"/>
        </w:rPr>
        <w:t>eu égard à l</w:t>
      </w:r>
      <w:r w:rsidR="007772C4" w:rsidRPr="007772C4">
        <w:rPr>
          <w:lang w:val="fr-FR"/>
        </w:rPr>
        <w:t>’</w:t>
      </w:r>
      <w:r w:rsidR="002F3E21" w:rsidRPr="007772C4">
        <w:rPr>
          <w:lang w:val="fr-FR"/>
        </w:rPr>
        <w:t xml:space="preserve">absence de ce dernier </w:t>
      </w:r>
      <w:r w:rsidR="0002623C" w:rsidRPr="007772C4">
        <w:rPr>
          <w:lang w:val="fr-FR"/>
        </w:rPr>
        <w:t>à la plupart des</w:t>
      </w:r>
      <w:r w:rsidR="002F3E21" w:rsidRPr="007772C4">
        <w:rPr>
          <w:lang w:val="fr-FR"/>
        </w:rPr>
        <w:t xml:space="preserve"> dates fixées pour l</w:t>
      </w:r>
      <w:r w:rsidR="00070310" w:rsidRPr="007772C4">
        <w:rPr>
          <w:lang w:val="fr-FR"/>
        </w:rPr>
        <w:t>a</w:t>
      </w:r>
      <w:r w:rsidR="0002623C" w:rsidRPr="007772C4">
        <w:rPr>
          <w:lang w:val="fr-FR"/>
        </w:rPr>
        <w:t xml:space="preserve"> tenue d</w:t>
      </w:r>
      <w:r w:rsidR="007772C4" w:rsidRPr="007772C4">
        <w:rPr>
          <w:lang w:val="fr-FR"/>
        </w:rPr>
        <w:t>’</w:t>
      </w:r>
      <w:r w:rsidR="0002623C" w:rsidRPr="007772C4">
        <w:rPr>
          <w:lang w:val="fr-FR"/>
        </w:rPr>
        <w:t xml:space="preserve">une </w:t>
      </w:r>
      <w:r w:rsidR="002F3E21" w:rsidRPr="007772C4">
        <w:rPr>
          <w:lang w:val="fr-FR"/>
        </w:rPr>
        <w:t xml:space="preserve">audience </w:t>
      </w:r>
      <w:r w:rsidR="002F3E21" w:rsidRPr="007772C4">
        <w:rPr>
          <w:i/>
          <w:lang w:val="fr-FR"/>
        </w:rPr>
        <w:t>ad hoc</w:t>
      </w:r>
      <w:r w:rsidR="002F3E21" w:rsidRPr="007772C4">
        <w:rPr>
          <w:lang w:val="fr-FR"/>
        </w:rPr>
        <w:t xml:space="preserve">, </w:t>
      </w:r>
      <w:r w:rsidR="008B7266" w:rsidRPr="007772C4">
        <w:rPr>
          <w:lang w:val="fr-FR"/>
        </w:rPr>
        <w:t>il était prévisible dès 1997 qu</w:t>
      </w:r>
      <w:r w:rsidR="007772C4" w:rsidRPr="007772C4">
        <w:rPr>
          <w:lang w:val="fr-FR"/>
        </w:rPr>
        <w:t>’</w:t>
      </w:r>
      <w:r w:rsidR="008B7266" w:rsidRPr="007772C4">
        <w:rPr>
          <w:lang w:val="fr-FR"/>
        </w:rPr>
        <w:t xml:space="preserve">il </w:t>
      </w:r>
      <w:r w:rsidR="0002623C" w:rsidRPr="007772C4">
        <w:rPr>
          <w:lang w:val="fr-FR"/>
        </w:rPr>
        <w:t>risqu</w:t>
      </w:r>
      <w:r w:rsidR="008B7266" w:rsidRPr="007772C4">
        <w:rPr>
          <w:lang w:val="fr-FR"/>
        </w:rPr>
        <w:t>ait de</w:t>
      </w:r>
      <w:r w:rsidR="00527B46" w:rsidRPr="007772C4">
        <w:rPr>
          <w:lang w:val="fr-FR"/>
        </w:rPr>
        <w:t xml:space="preserve"> se soustrai</w:t>
      </w:r>
      <w:r w:rsidR="008B7266" w:rsidRPr="007772C4">
        <w:rPr>
          <w:lang w:val="fr-FR"/>
        </w:rPr>
        <w:t>re</w:t>
      </w:r>
      <w:r w:rsidR="00527B46" w:rsidRPr="007772C4">
        <w:rPr>
          <w:lang w:val="fr-FR"/>
        </w:rPr>
        <w:t xml:space="preserve"> aux </w:t>
      </w:r>
      <w:r w:rsidR="001A26DB" w:rsidRPr="007772C4">
        <w:rPr>
          <w:lang w:val="fr-FR"/>
        </w:rPr>
        <w:t>débats</w:t>
      </w:r>
      <w:r w:rsidR="00527B46" w:rsidRPr="007772C4">
        <w:rPr>
          <w:lang w:val="fr-FR"/>
        </w:rPr>
        <w:t>.</w:t>
      </w:r>
    </w:p>
    <w:p w:rsidR="00CB3633" w:rsidRPr="007772C4" w:rsidRDefault="00CB3633" w:rsidP="007772C4">
      <w:pPr>
        <w:pStyle w:val="ECHRPara"/>
        <w:rPr>
          <w:lang w:val="fr-FR"/>
        </w:rPr>
      </w:pPr>
      <w:r w:rsidRPr="007772C4">
        <w:rPr>
          <w:lang w:val="fr-FR"/>
        </w:rPr>
        <w:fldChar w:fldCharType="begin"/>
      </w:r>
      <w:r w:rsidRPr="007772C4">
        <w:rPr>
          <w:lang w:val="fr-FR"/>
        </w:rPr>
        <w:instrText xml:space="preserve"> SEQ level0 \*arabic </w:instrText>
      </w:r>
      <w:r w:rsidRPr="007772C4">
        <w:rPr>
          <w:lang w:val="fr-FR"/>
        </w:rPr>
        <w:fldChar w:fldCharType="separate"/>
      </w:r>
      <w:r w:rsidR="007772C4" w:rsidRPr="007772C4">
        <w:rPr>
          <w:noProof/>
          <w:lang w:val="fr-FR"/>
        </w:rPr>
        <w:t>32</w:t>
      </w:r>
      <w:r w:rsidRPr="007772C4">
        <w:rPr>
          <w:lang w:val="fr-FR"/>
        </w:rPr>
        <w:fldChar w:fldCharType="end"/>
      </w:r>
      <w:r w:rsidRPr="007772C4">
        <w:rPr>
          <w:lang w:val="fr-FR"/>
        </w:rPr>
        <w:t xml:space="preserve">.  Le requérant </w:t>
      </w:r>
      <w:r w:rsidR="007C67EB" w:rsidRPr="007772C4">
        <w:rPr>
          <w:lang w:val="fr-FR"/>
        </w:rPr>
        <w:t>soutient</w:t>
      </w:r>
      <w:r w:rsidR="003F0965" w:rsidRPr="007772C4">
        <w:rPr>
          <w:lang w:val="fr-FR"/>
        </w:rPr>
        <w:t xml:space="preserve"> </w:t>
      </w:r>
      <w:r w:rsidR="007C67EB" w:rsidRPr="007772C4">
        <w:rPr>
          <w:lang w:val="fr-FR"/>
        </w:rPr>
        <w:t xml:space="preserve">encore </w:t>
      </w:r>
      <w:r w:rsidR="003F0965" w:rsidRPr="007772C4">
        <w:rPr>
          <w:lang w:val="fr-FR"/>
        </w:rPr>
        <w:t>que, contrairement aux</w:t>
      </w:r>
      <w:r w:rsidRPr="007772C4">
        <w:rPr>
          <w:lang w:val="fr-FR"/>
        </w:rPr>
        <w:t xml:space="preserve"> arguments </w:t>
      </w:r>
      <w:r w:rsidR="003F0965" w:rsidRPr="007772C4">
        <w:rPr>
          <w:lang w:val="fr-FR"/>
        </w:rPr>
        <w:t xml:space="preserve">avancés par le </w:t>
      </w:r>
      <w:r w:rsidRPr="007772C4">
        <w:rPr>
          <w:lang w:val="fr-FR"/>
        </w:rPr>
        <w:t>Gouvernement quant au manque d</w:t>
      </w:r>
      <w:r w:rsidR="003F0965" w:rsidRPr="007772C4">
        <w:rPr>
          <w:lang w:val="fr-FR"/>
        </w:rPr>
        <w:t>e</w:t>
      </w:r>
      <w:r w:rsidRPr="007772C4">
        <w:rPr>
          <w:lang w:val="fr-FR"/>
        </w:rPr>
        <w:t xml:space="preserve"> caractère déterminant des </w:t>
      </w:r>
      <w:r w:rsidR="003F0965" w:rsidRPr="007772C4">
        <w:rPr>
          <w:lang w:val="fr-FR"/>
        </w:rPr>
        <w:t xml:space="preserve">déclarations </w:t>
      </w:r>
      <w:r w:rsidRPr="007772C4">
        <w:rPr>
          <w:lang w:val="fr-FR"/>
        </w:rPr>
        <w:t>de C.C.</w:t>
      </w:r>
      <w:r w:rsidR="003F0965" w:rsidRPr="007772C4">
        <w:rPr>
          <w:lang w:val="fr-FR"/>
        </w:rPr>
        <w:t xml:space="preserve">, </w:t>
      </w:r>
      <w:r w:rsidRPr="007772C4">
        <w:rPr>
          <w:lang w:val="fr-FR"/>
        </w:rPr>
        <w:t>sa condamnation était bel et bien fondée exclusivement sur lesdites affirmations.</w:t>
      </w:r>
      <w:r w:rsidR="00C2731A" w:rsidRPr="007772C4">
        <w:rPr>
          <w:lang w:val="fr-FR"/>
        </w:rPr>
        <w:t xml:space="preserve"> </w:t>
      </w:r>
      <w:r w:rsidR="00B96CB5" w:rsidRPr="007772C4">
        <w:rPr>
          <w:lang w:val="fr-FR"/>
        </w:rPr>
        <w:t>Il ajoute</w:t>
      </w:r>
      <w:r w:rsidR="00C2731A" w:rsidRPr="007772C4">
        <w:rPr>
          <w:lang w:val="fr-FR"/>
        </w:rPr>
        <w:t xml:space="preserve"> </w:t>
      </w:r>
      <w:r w:rsidR="009A0043" w:rsidRPr="007772C4">
        <w:rPr>
          <w:lang w:val="fr-FR"/>
        </w:rPr>
        <w:t>s</w:t>
      </w:r>
      <w:r w:rsidR="007772C4" w:rsidRPr="007772C4">
        <w:rPr>
          <w:lang w:val="fr-FR"/>
        </w:rPr>
        <w:t>’</w:t>
      </w:r>
      <w:r w:rsidR="009A0043" w:rsidRPr="007772C4">
        <w:rPr>
          <w:lang w:val="fr-FR"/>
        </w:rPr>
        <w:t>être prévalu</w:t>
      </w:r>
      <w:r w:rsidR="00B96CB5" w:rsidRPr="007772C4">
        <w:rPr>
          <w:lang w:val="fr-FR"/>
        </w:rPr>
        <w:t>,</w:t>
      </w:r>
      <w:r w:rsidR="00C2731A" w:rsidRPr="007772C4">
        <w:rPr>
          <w:lang w:val="fr-FR"/>
        </w:rPr>
        <w:t xml:space="preserve"> pendant les débats</w:t>
      </w:r>
      <w:r w:rsidR="009F7082" w:rsidRPr="007772C4">
        <w:rPr>
          <w:lang w:val="fr-FR"/>
        </w:rPr>
        <w:t>,</w:t>
      </w:r>
      <w:r w:rsidR="00C2731A" w:rsidRPr="007772C4">
        <w:rPr>
          <w:lang w:val="fr-FR"/>
        </w:rPr>
        <w:t xml:space="preserve"> de la faculté de garder le silence.</w:t>
      </w:r>
    </w:p>
    <w:p w:rsidR="00F518D2" w:rsidRPr="007772C4" w:rsidRDefault="00E40D1E" w:rsidP="007772C4">
      <w:pPr>
        <w:pStyle w:val="ECHRPara"/>
        <w:rPr>
          <w:lang w:val="fr-FR"/>
        </w:rPr>
      </w:pPr>
      <w:r w:rsidRPr="007772C4">
        <w:rPr>
          <w:lang w:val="fr-FR"/>
        </w:rPr>
        <w:fldChar w:fldCharType="begin"/>
      </w:r>
      <w:r w:rsidRPr="007772C4">
        <w:rPr>
          <w:lang w:val="fr-FR"/>
        </w:rPr>
        <w:instrText xml:space="preserve"> SEQ level0 \*arabic </w:instrText>
      </w:r>
      <w:r w:rsidRPr="007772C4">
        <w:rPr>
          <w:lang w:val="fr-FR"/>
        </w:rPr>
        <w:fldChar w:fldCharType="separate"/>
      </w:r>
      <w:r w:rsidR="007772C4" w:rsidRPr="007772C4">
        <w:rPr>
          <w:noProof/>
          <w:lang w:val="fr-FR"/>
        </w:rPr>
        <w:t>33</w:t>
      </w:r>
      <w:r w:rsidRPr="007772C4">
        <w:rPr>
          <w:lang w:val="fr-FR"/>
        </w:rPr>
        <w:fldChar w:fldCharType="end"/>
      </w:r>
      <w:r w:rsidRPr="007772C4">
        <w:rPr>
          <w:lang w:val="fr-FR"/>
        </w:rPr>
        <w:t>.  </w:t>
      </w:r>
      <w:r w:rsidR="008B73BF" w:rsidRPr="007772C4">
        <w:rPr>
          <w:lang w:val="fr-FR"/>
        </w:rPr>
        <w:t xml:space="preserve">Le Gouvernement considère que </w:t>
      </w:r>
      <w:r w:rsidR="009F7082" w:rsidRPr="007772C4">
        <w:rPr>
          <w:lang w:val="fr-FR"/>
        </w:rPr>
        <w:t>l</w:t>
      </w:r>
      <w:r w:rsidR="007772C4" w:rsidRPr="007772C4">
        <w:rPr>
          <w:lang w:val="fr-FR"/>
        </w:rPr>
        <w:t>’</w:t>
      </w:r>
      <w:r w:rsidR="009F7082" w:rsidRPr="007772C4">
        <w:rPr>
          <w:lang w:val="fr-FR"/>
        </w:rPr>
        <w:t xml:space="preserve">admission comme preuve </w:t>
      </w:r>
      <w:r w:rsidR="008B73BF" w:rsidRPr="007772C4">
        <w:rPr>
          <w:lang w:val="fr-FR"/>
        </w:rPr>
        <w:t>des déclarations faites par C.</w:t>
      </w:r>
      <w:r w:rsidR="006F27FB" w:rsidRPr="007772C4">
        <w:rPr>
          <w:lang w:val="fr-FR"/>
        </w:rPr>
        <w:t>C.</w:t>
      </w:r>
      <w:r w:rsidR="008B73BF" w:rsidRPr="007772C4">
        <w:rPr>
          <w:lang w:val="fr-FR"/>
        </w:rPr>
        <w:t xml:space="preserve"> aux carabiniers était </w:t>
      </w:r>
      <w:r w:rsidR="009A0043" w:rsidRPr="007772C4">
        <w:rPr>
          <w:lang w:val="fr-FR"/>
        </w:rPr>
        <w:t>reconnue</w:t>
      </w:r>
      <w:r w:rsidR="008B73BF" w:rsidRPr="007772C4">
        <w:rPr>
          <w:lang w:val="fr-FR"/>
        </w:rPr>
        <w:t xml:space="preserve"> en droit interne. Il</w:t>
      </w:r>
      <w:r w:rsidRPr="007772C4">
        <w:rPr>
          <w:lang w:val="fr-FR"/>
        </w:rPr>
        <w:t xml:space="preserve"> </w:t>
      </w:r>
      <w:r w:rsidR="00AF2914" w:rsidRPr="007772C4">
        <w:rPr>
          <w:lang w:val="fr-FR"/>
        </w:rPr>
        <w:t>estime que</w:t>
      </w:r>
      <w:r w:rsidR="00F518D2" w:rsidRPr="007772C4">
        <w:rPr>
          <w:lang w:val="fr-FR"/>
        </w:rPr>
        <w:t xml:space="preserve"> </w:t>
      </w:r>
      <w:r w:rsidRPr="007772C4">
        <w:rPr>
          <w:lang w:val="fr-FR"/>
        </w:rPr>
        <w:t>l</w:t>
      </w:r>
      <w:r w:rsidR="00F518D2" w:rsidRPr="007772C4">
        <w:rPr>
          <w:lang w:val="fr-FR"/>
        </w:rPr>
        <w:t xml:space="preserve">es dispositions </w:t>
      </w:r>
      <w:r w:rsidRPr="007772C4">
        <w:rPr>
          <w:lang w:val="fr-FR"/>
        </w:rPr>
        <w:t xml:space="preserve">en cause </w:t>
      </w:r>
      <w:r w:rsidR="00F518D2" w:rsidRPr="007772C4">
        <w:rPr>
          <w:lang w:val="fr-FR"/>
        </w:rPr>
        <w:t xml:space="preserve">ont été interprétées par les juridictions </w:t>
      </w:r>
      <w:r w:rsidR="00ED16B7" w:rsidRPr="007772C4">
        <w:rPr>
          <w:lang w:val="fr-FR"/>
        </w:rPr>
        <w:t>internes de manière conforme à la Convention</w:t>
      </w:r>
      <w:r w:rsidR="00F518D2" w:rsidRPr="007772C4">
        <w:rPr>
          <w:lang w:val="fr-FR"/>
        </w:rPr>
        <w:t xml:space="preserve">. </w:t>
      </w:r>
      <w:r w:rsidR="00AF2914" w:rsidRPr="007772C4">
        <w:rPr>
          <w:lang w:val="fr-FR"/>
        </w:rPr>
        <w:t>Il</w:t>
      </w:r>
      <w:r w:rsidR="00A207CF" w:rsidRPr="007772C4">
        <w:rPr>
          <w:lang w:val="fr-FR"/>
        </w:rPr>
        <w:t xml:space="preserve"> cite e</w:t>
      </w:r>
      <w:r w:rsidR="007772C4" w:rsidRPr="007772C4">
        <w:rPr>
          <w:lang w:val="fr-FR"/>
        </w:rPr>
        <w:t>n particulier un arrêt </w:t>
      </w:r>
      <w:r w:rsidR="00F518D2" w:rsidRPr="007772C4">
        <w:rPr>
          <w:lang w:val="fr-FR"/>
        </w:rPr>
        <w:t>n</w:t>
      </w:r>
      <w:r w:rsidR="00615CAA" w:rsidRPr="007772C4">
        <w:rPr>
          <w:vertAlign w:val="superscript"/>
          <w:lang w:val="fr-FR"/>
        </w:rPr>
        <w:t>o</w:t>
      </w:r>
      <w:r w:rsidR="00F518D2" w:rsidRPr="007772C4">
        <w:rPr>
          <w:lang w:val="fr-FR"/>
        </w:rPr>
        <w:t xml:space="preserve"> 27918 </w:t>
      </w:r>
      <w:r w:rsidR="00606A17" w:rsidRPr="007772C4">
        <w:rPr>
          <w:lang w:val="fr-FR"/>
        </w:rPr>
        <w:t>rendu le 14 juillet 2011 par</w:t>
      </w:r>
      <w:r w:rsidR="00F518D2" w:rsidRPr="007772C4">
        <w:rPr>
          <w:lang w:val="fr-FR"/>
        </w:rPr>
        <w:t xml:space="preserve"> les sections réunies de la Cour de cassation</w:t>
      </w:r>
      <w:r w:rsidR="009A0043" w:rsidRPr="007772C4">
        <w:rPr>
          <w:lang w:val="fr-FR"/>
        </w:rPr>
        <w:t>,</w:t>
      </w:r>
      <w:r w:rsidR="00606A17" w:rsidRPr="007772C4">
        <w:rPr>
          <w:lang w:val="fr-FR"/>
        </w:rPr>
        <w:t xml:space="preserve"> selon lequel </w:t>
      </w:r>
      <w:r w:rsidR="00F518D2" w:rsidRPr="007772C4">
        <w:rPr>
          <w:lang w:val="fr-FR"/>
        </w:rPr>
        <w:t>les déclarations d</w:t>
      </w:r>
      <w:r w:rsidR="007772C4" w:rsidRPr="007772C4">
        <w:rPr>
          <w:lang w:val="fr-FR"/>
        </w:rPr>
        <w:t>’</w:t>
      </w:r>
      <w:r w:rsidR="00F518D2" w:rsidRPr="007772C4">
        <w:rPr>
          <w:lang w:val="fr-FR"/>
        </w:rPr>
        <w:t xml:space="preserve">un témoin absent doivent être </w:t>
      </w:r>
      <w:r w:rsidR="00F518D2" w:rsidRPr="007772C4">
        <w:rPr>
          <w:lang w:val="fr-FR"/>
        </w:rPr>
        <w:lastRenderedPageBreak/>
        <w:t xml:space="preserve">évaluées avec la prudence nécessaire, </w:t>
      </w:r>
      <w:r w:rsidR="009A0043" w:rsidRPr="007772C4">
        <w:rPr>
          <w:lang w:val="fr-FR"/>
        </w:rPr>
        <w:t>par le biais</w:t>
      </w:r>
      <w:r w:rsidR="00F518D2" w:rsidRPr="007772C4">
        <w:rPr>
          <w:lang w:val="fr-FR"/>
        </w:rPr>
        <w:t xml:space="preserve"> non seulement </w:t>
      </w:r>
      <w:r w:rsidR="009A0043" w:rsidRPr="007772C4">
        <w:rPr>
          <w:lang w:val="fr-FR"/>
        </w:rPr>
        <w:t>d</w:t>
      </w:r>
      <w:r w:rsidR="007772C4" w:rsidRPr="007772C4">
        <w:rPr>
          <w:lang w:val="fr-FR"/>
        </w:rPr>
        <w:t>’</w:t>
      </w:r>
      <w:r w:rsidR="00F518D2" w:rsidRPr="007772C4">
        <w:rPr>
          <w:lang w:val="fr-FR"/>
        </w:rPr>
        <w:t xml:space="preserve">un examen de la crédibilité subjective et objective </w:t>
      </w:r>
      <w:r w:rsidR="00AF2914" w:rsidRPr="007772C4">
        <w:rPr>
          <w:lang w:val="fr-FR"/>
        </w:rPr>
        <w:t>de celui-ci</w:t>
      </w:r>
      <w:r w:rsidR="00F518D2" w:rsidRPr="007772C4">
        <w:rPr>
          <w:lang w:val="fr-FR"/>
        </w:rPr>
        <w:t xml:space="preserve">, mais aussi </w:t>
      </w:r>
      <w:r w:rsidR="009A0043" w:rsidRPr="007772C4">
        <w:rPr>
          <w:lang w:val="fr-FR"/>
        </w:rPr>
        <w:t>par celui de</w:t>
      </w:r>
      <w:r w:rsidR="00F518D2" w:rsidRPr="007772C4">
        <w:rPr>
          <w:lang w:val="fr-FR"/>
        </w:rPr>
        <w:t xml:space="preserve"> la confrontation de sa déposition avec les autres éléments présentés aux débats.</w:t>
      </w:r>
    </w:p>
    <w:p w:rsidR="00F518D2" w:rsidRPr="007772C4" w:rsidRDefault="00E40D1E" w:rsidP="007772C4">
      <w:pPr>
        <w:pStyle w:val="ECHRPara"/>
        <w:rPr>
          <w:rFonts w:ascii="Times New Roman" w:eastAsia="Times New Roman" w:hAnsi="Times New Roman" w:cs="Times New Roman"/>
          <w:szCs w:val="24"/>
          <w:lang w:val="fr-FR"/>
        </w:rPr>
      </w:pPr>
      <w:r w:rsidRPr="007772C4">
        <w:rPr>
          <w:rFonts w:ascii="Times New Roman" w:eastAsia="Times New Roman" w:hAnsi="Times New Roman" w:cs="Times New Roman"/>
          <w:szCs w:val="24"/>
          <w:lang w:val="fr-FR"/>
        </w:rPr>
        <w:fldChar w:fldCharType="begin"/>
      </w:r>
      <w:r w:rsidRPr="007772C4">
        <w:rPr>
          <w:rFonts w:ascii="Times New Roman" w:eastAsia="Times New Roman" w:hAnsi="Times New Roman" w:cs="Times New Roman"/>
          <w:szCs w:val="24"/>
          <w:lang w:val="fr-FR"/>
        </w:rPr>
        <w:instrText xml:space="preserve"> SEQ level0 \*arabic </w:instrText>
      </w:r>
      <w:r w:rsidRPr="007772C4">
        <w:rPr>
          <w:rFonts w:ascii="Times New Roman" w:eastAsia="Times New Roman" w:hAnsi="Times New Roman" w:cs="Times New Roman"/>
          <w:szCs w:val="24"/>
          <w:lang w:val="fr-FR"/>
        </w:rPr>
        <w:fldChar w:fldCharType="separate"/>
      </w:r>
      <w:r w:rsidR="007772C4" w:rsidRPr="007772C4">
        <w:rPr>
          <w:rFonts w:ascii="Times New Roman" w:eastAsia="Times New Roman" w:hAnsi="Times New Roman" w:cs="Times New Roman"/>
          <w:noProof/>
          <w:szCs w:val="24"/>
          <w:lang w:val="fr-FR"/>
        </w:rPr>
        <w:t>34</w:t>
      </w:r>
      <w:r w:rsidRPr="007772C4">
        <w:rPr>
          <w:rFonts w:ascii="Times New Roman" w:eastAsia="Times New Roman" w:hAnsi="Times New Roman" w:cs="Times New Roman"/>
          <w:szCs w:val="24"/>
          <w:lang w:val="fr-FR"/>
        </w:rPr>
        <w:fldChar w:fldCharType="end"/>
      </w:r>
      <w:r w:rsidRPr="007772C4">
        <w:rPr>
          <w:rFonts w:ascii="Times New Roman" w:eastAsia="Times New Roman" w:hAnsi="Times New Roman" w:cs="Times New Roman"/>
          <w:szCs w:val="24"/>
          <w:lang w:val="fr-FR"/>
        </w:rPr>
        <w:t>.  </w:t>
      </w:r>
      <w:r w:rsidR="00F518D2" w:rsidRPr="007772C4">
        <w:rPr>
          <w:rFonts w:ascii="Times New Roman" w:eastAsia="Times New Roman" w:hAnsi="Times New Roman" w:cs="Times New Roman"/>
          <w:szCs w:val="24"/>
          <w:lang w:val="fr-FR"/>
        </w:rPr>
        <w:t>De l</w:t>
      </w:r>
      <w:r w:rsidR="007772C4" w:rsidRPr="007772C4">
        <w:rPr>
          <w:rFonts w:ascii="Times New Roman" w:eastAsia="Times New Roman" w:hAnsi="Times New Roman" w:cs="Times New Roman"/>
          <w:szCs w:val="24"/>
          <w:lang w:val="fr-FR"/>
        </w:rPr>
        <w:t>’</w:t>
      </w:r>
      <w:r w:rsidR="00F518D2" w:rsidRPr="007772C4">
        <w:rPr>
          <w:rFonts w:ascii="Times New Roman" w:eastAsia="Times New Roman" w:hAnsi="Times New Roman" w:cs="Times New Roman"/>
          <w:szCs w:val="24"/>
          <w:lang w:val="fr-FR"/>
        </w:rPr>
        <w:t xml:space="preserve">avis du Gouvernement, </w:t>
      </w:r>
      <w:r w:rsidR="008B73BF" w:rsidRPr="007772C4">
        <w:rPr>
          <w:rFonts w:ascii="Times New Roman" w:eastAsia="Times New Roman" w:hAnsi="Times New Roman" w:cs="Times New Roman"/>
          <w:szCs w:val="24"/>
          <w:lang w:val="fr-FR"/>
        </w:rPr>
        <w:t>la présente affaire</w:t>
      </w:r>
      <w:r w:rsidR="00F518D2" w:rsidRPr="007772C4">
        <w:rPr>
          <w:rFonts w:ascii="Times New Roman" w:eastAsia="Times New Roman" w:hAnsi="Times New Roman" w:cs="Times New Roman"/>
          <w:szCs w:val="24"/>
          <w:lang w:val="fr-FR"/>
        </w:rPr>
        <w:t xml:space="preserve"> est similaire à l</w:t>
      </w:r>
      <w:r w:rsidR="007772C4" w:rsidRPr="007772C4">
        <w:rPr>
          <w:rFonts w:ascii="Times New Roman" w:eastAsia="Times New Roman" w:hAnsi="Times New Roman" w:cs="Times New Roman"/>
          <w:szCs w:val="24"/>
          <w:lang w:val="fr-FR"/>
        </w:rPr>
        <w:t>’</w:t>
      </w:r>
      <w:r w:rsidR="00F518D2" w:rsidRPr="007772C4">
        <w:rPr>
          <w:rFonts w:ascii="Times New Roman" w:eastAsia="Times New Roman" w:hAnsi="Times New Roman" w:cs="Times New Roman"/>
          <w:szCs w:val="24"/>
          <w:lang w:val="fr-FR"/>
        </w:rPr>
        <w:t xml:space="preserve">affaire </w:t>
      </w:r>
      <w:r w:rsidR="008B73BF" w:rsidRPr="007772C4">
        <w:rPr>
          <w:rStyle w:val="CLLItalic"/>
          <w:rFonts w:cs="Times New Roman"/>
        </w:rPr>
        <w:t xml:space="preserve">Ben </w:t>
      </w:r>
      <w:proofErr w:type="spellStart"/>
      <w:r w:rsidR="008B73BF" w:rsidRPr="007772C4">
        <w:rPr>
          <w:rStyle w:val="CLLItalic"/>
          <w:rFonts w:cs="Times New Roman"/>
        </w:rPr>
        <w:t>Moumen</w:t>
      </w:r>
      <w:proofErr w:type="spellEnd"/>
      <w:r w:rsidR="008B73BF" w:rsidRPr="007772C4">
        <w:rPr>
          <w:lang w:val="fr-FR"/>
        </w:rPr>
        <w:t xml:space="preserve"> </w:t>
      </w:r>
      <w:r w:rsidR="008B73BF" w:rsidRPr="007772C4">
        <w:rPr>
          <w:rStyle w:val="CLLItalic"/>
          <w:rFonts w:cs="Times New Roman"/>
        </w:rPr>
        <w:t>c. Italie</w:t>
      </w:r>
      <w:r w:rsidR="008B73BF" w:rsidRPr="007772C4">
        <w:rPr>
          <w:lang w:val="fr-FR"/>
        </w:rPr>
        <w:t xml:space="preserve"> (n</w:t>
      </w:r>
      <w:r w:rsidR="008B73BF" w:rsidRPr="007772C4">
        <w:rPr>
          <w:rStyle w:val="CLLSuperscript"/>
          <w:rFonts w:cs="Times New Roman"/>
        </w:rPr>
        <w:t>o</w:t>
      </w:r>
      <w:r w:rsidR="008B73BF" w:rsidRPr="007772C4">
        <w:rPr>
          <w:lang w:val="fr-FR"/>
        </w:rPr>
        <w:t xml:space="preserve"> 3977/13, 23 juin 2016)</w:t>
      </w:r>
      <w:r w:rsidR="00EA2400" w:rsidRPr="007772C4">
        <w:rPr>
          <w:lang w:val="fr-FR"/>
        </w:rPr>
        <w:t>,</w:t>
      </w:r>
      <w:r w:rsidR="00824559" w:rsidRPr="007772C4">
        <w:rPr>
          <w:lang w:val="fr-FR"/>
        </w:rPr>
        <w:t xml:space="preserve"> dans laquelle</w:t>
      </w:r>
      <w:r w:rsidR="00F518D2" w:rsidRPr="007772C4">
        <w:rPr>
          <w:rFonts w:ascii="Times New Roman" w:eastAsia="Times New Roman" w:hAnsi="Times New Roman" w:cs="Times New Roman"/>
          <w:szCs w:val="24"/>
          <w:lang w:val="fr-FR"/>
        </w:rPr>
        <w:t xml:space="preserve"> la Cour a conclu à la non</w:t>
      </w:r>
      <w:r w:rsidR="00C36339" w:rsidRPr="007772C4">
        <w:rPr>
          <w:rFonts w:ascii="Times New Roman" w:eastAsia="Times New Roman" w:hAnsi="Times New Roman" w:cs="Times New Roman"/>
          <w:szCs w:val="24"/>
          <w:lang w:val="fr-FR"/>
        </w:rPr>
        <w:t>-</w:t>
      </w:r>
      <w:r w:rsidR="00F518D2" w:rsidRPr="007772C4">
        <w:rPr>
          <w:rFonts w:ascii="Times New Roman" w:eastAsia="Times New Roman" w:hAnsi="Times New Roman" w:cs="Times New Roman"/>
          <w:szCs w:val="24"/>
          <w:lang w:val="fr-FR"/>
        </w:rPr>
        <w:t>violation d</w:t>
      </w:r>
      <w:r w:rsidR="008B73BF" w:rsidRPr="007772C4">
        <w:rPr>
          <w:rFonts w:ascii="Times New Roman" w:eastAsia="Times New Roman" w:hAnsi="Times New Roman" w:cs="Times New Roman"/>
          <w:szCs w:val="24"/>
          <w:lang w:val="fr-FR"/>
        </w:rPr>
        <w:t>e</w:t>
      </w:r>
      <w:r w:rsidR="00F518D2" w:rsidRPr="007772C4">
        <w:rPr>
          <w:rFonts w:ascii="Times New Roman" w:eastAsia="Times New Roman" w:hAnsi="Times New Roman" w:cs="Times New Roman"/>
          <w:szCs w:val="24"/>
          <w:lang w:val="fr-FR"/>
        </w:rPr>
        <w:t xml:space="preserve"> </w:t>
      </w:r>
      <w:r w:rsidR="008B73BF" w:rsidRPr="007772C4">
        <w:rPr>
          <w:rFonts w:ascii="Times New Roman" w:eastAsia="Times New Roman" w:hAnsi="Times New Roman" w:cs="Times New Roman"/>
          <w:szCs w:val="24"/>
          <w:lang w:val="fr-FR"/>
        </w:rPr>
        <w:t>l</w:t>
      </w:r>
      <w:r w:rsidR="007772C4" w:rsidRPr="007772C4">
        <w:rPr>
          <w:rFonts w:ascii="Times New Roman" w:eastAsia="Times New Roman" w:hAnsi="Times New Roman" w:cs="Times New Roman"/>
          <w:szCs w:val="24"/>
          <w:lang w:val="fr-FR"/>
        </w:rPr>
        <w:t>’</w:t>
      </w:r>
      <w:r w:rsidR="008B73BF" w:rsidRPr="007772C4">
        <w:rPr>
          <w:rFonts w:ascii="Times New Roman" w:eastAsia="Times New Roman" w:hAnsi="Times New Roman" w:cs="Times New Roman"/>
          <w:szCs w:val="24"/>
          <w:lang w:val="fr-FR"/>
        </w:rPr>
        <w:t>article</w:t>
      </w:r>
      <w:r w:rsidR="00EE1E89" w:rsidRPr="007772C4">
        <w:rPr>
          <w:rFonts w:ascii="Times New Roman" w:eastAsia="Times New Roman" w:hAnsi="Times New Roman" w:cs="Times New Roman"/>
          <w:szCs w:val="24"/>
          <w:lang w:val="fr-FR"/>
        </w:rPr>
        <w:t xml:space="preserve"> 6</w:t>
      </w:r>
      <w:r w:rsidR="00824559" w:rsidRPr="007772C4">
        <w:rPr>
          <w:rFonts w:ascii="Times New Roman" w:eastAsia="Times New Roman" w:hAnsi="Times New Roman" w:cs="Times New Roman"/>
          <w:szCs w:val="24"/>
          <w:lang w:val="fr-FR"/>
        </w:rPr>
        <w:t xml:space="preserve"> de la Convention</w:t>
      </w:r>
      <w:r w:rsidR="008B73BF" w:rsidRPr="007772C4">
        <w:rPr>
          <w:rFonts w:ascii="Times New Roman" w:eastAsia="Times New Roman" w:hAnsi="Times New Roman" w:cs="Times New Roman"/>
          <w:szCs w:val="24"/>
          <w:lang w:val="fr-FR"/>
        </w:rPr>
        <w:t>.</w:t>
      </w:r>
    </w:p>
    <w:p w:rsidR="00A57554" w:rsidRPr="007772C4" w:rsidRDefault="00A57554" w:rsidP="007772C4">
      <w:pPr>
        <w:pStyle w:val="ECHRPara"/>
        <w:rPr>
          <w:rFonts w:cs="Times New Roman"/>
          <w:i/>
          <w:iCs/>
          <w:lang w:val="fr-FR"/>
        </w:rPr>
      </w:pPr>
      <w:r w:rsidRPr="007772C4">
        <w:rPr>
          <w:rFonts w:ascii="Times New Roman" w:eastAsia="Times New Roman" w:hAnsi="Times New Roman" w:cs="Times New Roman"/>
          <w:szCs w:val="24"/>
          <w:lang w:val="fr-FR"/>
        </w:rPr>
        <w:fldChar w:fldCharType="begin"/>
      </w:r>
      <w:r w:rsidRPr="007772C4">
        <w:rPr>
          <w:rFonts w:ascii="Times New Roman" w:eastAsia="Times New Roman" w:hAnsi="Times New Roman" w:cs="Times New Roman"/>
          <w:szCs w:val="24"/>
          <w:lang w:val="fr-FR"/>
        </w:rPr>
        <w:instrText xml:space="preserve"> SEQ level0 \*arabic </w:instrText>
      </w:r>
      <w:r w:rsidRPr="007772C4">
        <w:rPr>
          <w:rFonts w:ascii="Times New Roman" w:eastAsia="Times New Roman" w:hAnsi="Times New Roman" w:cs="Times New Roman"/>
          <w:szCs w:val="24"/>
          <w:lang w:val="fr-FR"/>
        </w:rPr>
        <w:fldChar w:fldCharType="separate"/>
      </w:r>
      <w:r w:rsidR="007772C4" w:rsidRPr="007772C4">
        <w:rPr>
          <w:rFonts w:ascii="Times New Roman" w:eastAsia="Times New Roman" w:hAnsi="Times New Roman" w:cs="Times New Roman"/>
          <w:noProof/>
          <w:szCs w:val="24"/>
          <w:lang w:val="fr-FR"/>
        </w:rPr>
        <w:t>35</w:t>
      </w:r>
      <w:r w:rsidRPr="007772C4">
        <w:rPr>
          <w:rFonts w:ascii="Times New Roman" w:eastAsia="Times New Roman" w:hAnsi="Times New Roman" w:cs="Times New Roman"/>
          <w:szCs w:val="24"/>
          <w:lang w:val="fr-FR"/>
        </w:rPr>
        <w:fldChar w:fldCharType="end"/>
      </w:r>
      <w:r w:rsidRPr="007772C4">
        <w:rPr>
          <w:rFonts w:ascii="Times New Roman" w:eastAsia="Times New Roman" w:hAnsi="Times New Roman" w:cs="Times New Roman"/>
          <w:szCs w:val="24"/>
          <w:lang w:val="fr-FR"/>
        </w:rPr>
        <w:t>.  </w:t>
      </w:r>
      <w:r w:rsidRPr="007772C4">
        <w:rPr>
          <w:rFonts w:ascii="Times New Roman" w:hAnsi="Times New Roman" w:cs="Times New Roman"/>
          <w:color w:val="000000"/>
          <w:lang w:val="fr-FR"/>
        </w:rPr>
        <w:t>Le Gouvernement explique que, afin de valider la preuve principale à charge – à savoir le témoignage de C.C. –, le tribunal a pris en considération d</w:t>
      </w:r>
      <w:r w:rsidR="007772C4" w:rsidRPr="007772C4">
        <w:rPr>
          <w:rFonts w:ascii="Times New Roman" w:hAnsi="Times New Roman" w:cs="Times New Roman"/>
          <w:color w:val="000000"/>
          <w:lang w:val="fr-FR"/>
        </w:rPr>
        <w:t>’</w:t>
      </w:r>
      <w:r w:rsidRPr="007772C4">
        <w:rPr>
          <w:rFonts w:ascii="Times New Roman" w:hAnsi="Times New Roman" w:cs="Times New Roman"/>
          <w:color w:val="000000"/>
          <w:lang w:val="fr-FR"/>
        </w:rPr>
        <w:t>autres preuves, telles que les déclarations du carabinier L.R. ayant enregistré la plainte de C.C. et ayant effectué la procédure de reconnaissance photographique du requérant et de son coïnculpé.</w:t>
      </w:r>
    </w:p>
    <w:p w:rsidR="001724FD" w:rsidRPr="007772C4" w:rsidRDefault="00E40D1E" w:rsidP="007772C4">
      <w:pPr>
        <w:pStyle w:val="ECHRPara"/>
        <w:rPr>
          <w:rFonts w:ascii="Times New Roman" w:eastAsia="Times New Roman" w:hAnsi="Times New Roman" w:cs="Times New Roman"/>
          <w:szCs w:val="24"/>
          <w:lang w:val="fr-FR"/>
        </w:rPr>
      </w:pPr>
      <w:r w:rsidRPr="007772C4">
        <w:rPr>
          <w:rFonts w:ascii="Times New Roman" w:eastAsia="Times New Roman" w:hAnsi="Times New Roman" w:cs="Times New Roman"/>
          <w:szCs w:val="24"/>
          <w:lang w:val="fr-FR"/>
        </w:rPr>
        <w:fldChar w:fldCharType="begin"/>
      </w:r>
      <w:r w:rsidRPr="007772C4">
        <w:rPr>
          <w:rFonts w:ascii="Times New Roman" w:eastAsia="Times New Roman" w:hAnsi="Times New Roman" w:cs="Times New Roman"/>
          <w:szCs w:val="24"/>
          <w:lang w:val="fr-FR"/>
        </w:rPr>
        <w:instrText xml:space="preserve"> SEQ level0 \*arabic </w:instrText>
      </w:r>
      <w:r w:rsidRPr="007772C4">
        <w:rPr>
          <w:rFonts w:ascii="Times New Roman" w:eastAsia="Times New Roman" w:hAnsi="Times New Roman" w:cs="Times New Roman"/>
          <w:szCs w:val="24"/>
          <w:lang w:val="fr-FR"/>
        </w:rPr>
        <w:fldChar w:fldCharType="separate"/>
      </w:r>
      <w:r w:rsidR="007772C4" w:rsidRPr="007772C4">
        <w:rPr>
          <w:rFonts w:ascii="Times New Roman" w:eastAsia="Times New Roman" w:hAnsi="Times New Roman" w:cs="Times New Roman"/>
          <w:noProof/>
          <w:szCs w:val="24"/>
          <w:lang w:val="fr-FR"/>
        </w:rPr>
        <w:t>36</w:t>
      </w:r>
      <w:r w:rsidRPr="007772C4">
        <w:rPr>
          <w:rFonts w:ascii="Times New Roman" w:eastAsia="Times New Roman" w:hAnsi="Times New Roman" w:cs="Times New Roman"/>
          <w:szCs w:val="24"/>
          <w:lang w:val="fr-FR"/>
        </w:rPr>
        <w:fldChar w:fldCharType="end"/>
      </w:r>
      <w:r w:rsidRPr="007772C4">
        <w:rPr>
          <w:rFonts w:ascii="Times New Roman" w:eastAsia="Times New Roman" w:hAnsi="Times New Roman" w:cs="Times New Roman"/>
          <w:szCs w:val="24"/>
          <w:lang w:val="fr-FR"/>
        </w:rPr>
        <w:t>.  </w:t>
      </w:r>
      <w:r w:rsidR="005204EC" w:rsidRPr="007772C4">
        <w:rPr>
          <w:rFonts w:ascii="Times New Roman" w:eastAsia="Times New Roman" w:hAnsi="Times New Roman" w:cs="Times New Roman"/>
          <w:szCs w:val="24"/>
          <w:lang w:val="fr-FR"/>
        </w:rPr>
        <w:t xml:space="preserve">Il </w:t>
      </w:r>
      <w:r w:rsidR="00443613" w:rsidRPr="007772C4">
        <w:rPr>
          <w:rFonts w:ascii="Times New Roman" w:eastAsia="Times New Roman" w:hAnsi="Times New Roman" w:cs="Times New Roman"/>
          <w:szCs w:val="24"/>
          <w:lang w:val="fr-FR"/>
        </w:rPr>
        <w:t>argue</w:t>
      </w:r>
      <w:r w:rsidR="005204EC" w:rsidRPr="007772C4">
        <w:rPr>
          <w:rFonts w:ascii="Times New Roman" w:eastAsia="Times New Roman" w:hAnsi="Times New Roman" w:cs="Times New Roman"/>
          <w:szCs w:val="24"/>
          <w:lang w:val="fr-FR"/>
        </w:rPr>
        <w:t xml:space="preserve"> que, d</w:t>
      </w:r>
      <w:r w:rsidR="00F518D2" w:rsidRPr="007772C4">
        <w:rPr>
          <w:rFonts w:ascii="Times New Roman" w:eastAsia="Times New Roman" w:hAnsi="Times New Roman" w:cs="Times New Roman"/>
          <w:szCs w:val="24"/>
          <w:lang w:val="fr-FR"/>
        </w:rPr>
        <w:t xml:space="preserve">ans </w:t>
      </w:r>
      <w:r w:rsidRPr="007772C4">
        <w:rPr>
          <w:rFonts w:ascii="Times New Roman" w:eastAsia="Times New Roman" w:hAnsi="Times New Roman" w:cs="Times New Roman"/>
          <w:szCs w:val="24"/>
          <w:lang w:val="fr-FR"/>
        </w:rPr>
        <w:t xml:space="preserve">les </w:t>
      </w:r>
      <w:r w:rsidR="00F518D2" w:rsidRPr="007772C4">
        <w:rPr>
          <w:rFonts w:ascii="Times New Roman" w:eastAsia="Times New Roman" w:hAnsi="Times New Roman" w:cs="Times New Roman"/>
          <w:szCs w:val="24"/>
          <w:lang w:val="fr-FR"/>
        </w:rPr>
        <w:t>circonstances</w:t>
      </w:r>
      <w:r w:rsidRPr="007772C4">
        <w:rPr>
          <w:rFonts w:ascii="Times New Roman" w:eastAsia="Times New Roman" w:hAnsi="Times New Roman" w:cs="Times New Roman"/>
          <w:szCs w:val="24"/>
          <w:lang w:val="fr-FR"/>
        </w:rPr>
        <w:t xml:space="preserve"> de la cause</w:t>
      </w:r>
      <w:r w:rsidR="00F518D2" w:rsidRPr="007772C4">
        <w:rPr>
          <w:rFonts w:ascii="Times New Roman" w:eastAsia="Times New Roman" w:hAnsi="Times New Roman" w:cs="Times New Roman"/>
          <w:szCs w:val="24"/>
          <w:lang w:val="fr-FR"/>
        </w:rPr>
        <w:t xml:space="preserve">, on ne </w:t>
      </w:r>
      <w:r w:rsidR="005204EC" w:rsidRPr="007772C4">
        <w:rPr>
          <w:rFonts w:ascii="Times New Roman" w:eastAsia="Times New Roman" w:hAnsi="Times New Roman" w:cs="Times New Roman"/>
          <w:szCs w:val="24"/>
          <w:lang w:val="fr-FR"/>
        </w:rPr>
        <w:t xml:space="preserve">peut </w:t>
      </w:r>
      <w:r w:rsidR="00F518D2" w:rsidRPr="007772C4">
        <w:rPr>
          <w:rFonts w:ascii="Times New Roman" w:eastAsia="Times New Roman" w:hAnsi="Times New Roman" w:cs="Times New Roman"/>
          <w:szCs w:val="24"/>
          <w:lang w:val="fr-FR"/>
        </w:rPr>
        <w:t xml:space="preserve">estimer que la déposition de </w:t>
      </w:r>
      <w:r w:rsidR="00F45D6F" w:rsidRPr="007772C4">
        <w:rPr>
          <w:rFonts w:ascii="Times New Roman" w:eastAsia="Times New Roman" w:hAnsi="Times New Roman" w:cs="Times New Roman"/>
          <w:szCs w:val="24"/>
          <w:lang w:val="fr-FR"/>
        </w:rPr>
        <w:t>C.C.</w:t>
      </w:r>
      <w:r w:rsidR="00F518D2" w:rsidRPr="007772C4">
        <w:rPr>
          <w:rFonts w:ascii="Times New Roman" w:eastAsia="Times New Roman" w:hAnsi="Times New Roman" w:cs="Times New Roman"/>
          <w:szCs w:val="24"/>
          <w:lang w:val="fr-FR"/>
        </w:rPr>
        <w:t xml:space="preserve"> a constitué le fondement unique ou déterminant de la condamnation du requérant. </w:t>
      </w:r>
      <w:r w:rsidR="005204EC" w:rsidRPr="007772C4">
        <w:rPr>
          <w:rFonts w:ascii="Times New Roman" w:eastAsia="Times New Roman" w:hAnsi="Times New Roman" w:cs="Times New Roman"/>
          <w:szCs w:val="24"/>
          <w:lang w:val="fr-FR"/>
        </w:rPr>
        <w:t xml:space="preserve">Il </w:t>
      </w:r>
      <w:r w:rsidR="00BE7E6F" w:rsidRPr="007772C4">
        <w:rPr>
          <w:rFonts w:ascii="Times New Roman" w:eastAsia="Times New Roman" w:hAnsi="Times New Roman" w:cs="Times New Roman"/>
          <w:szCs w:val="24"/>
          <w:lang w:val="fr-FR"/>
        </w:rPr>
        <w:t>précis</w:t>
      </w:r>
      <w:r w:rsidR="005204EC" w:rsidRPr="007772C4">
        <w:rPr>
          <w:rFonts w:ascii="Times New Roman" w:eastAsia="Times New Roman" w:hAnsi="Times New Roman" w:cs="Times New Roman"/>
          <w:szCs w:val="24"/>
          <w:lang w:val="fr-FR"/>
        </w:rPr>
        <w:t>e que c</w:t>
      </w:r>
      <w:r w:rsidR="00F518D2" w:rsidRPr="007772C4">
        <w:rPr>
          <w:rFonts w:ascii="Times New Roman" w:eastAsia="Times New Roman" w:hAnsi="Times New Roman" w:cs="Times New Roman"/>
          <w:szCs w:val="24"/>
          <w:lang w:val="fr-FR"/>
        </w:rPr>
        <w:t>e dernier a par ailleurs eu la possibilité d</w:t>
      </w:r>
      <w:r w:rsidR="007772C4" w:rsidRPr="007772C4">
        <w:rPr>
          <w:rFonts w:ascii="Times New Roman" w:eastAsia="Times New Roman" w:hAnsi="Times New Roman" w:cs="Times New Roman"/>
          <w:szCs w:val="24"/>
          <w:lang w:val="fr-FR"/>
        </w:rPr>
        <w:t>’</w:t>
      </w:r>
      <w:r w:rsidR="00F518D2" w:rsidRPr="007772C4">
        <w:rPr>
          <w:rFonts w:ascii="Times New Roman" w:eastAsia="Times New Roman" w:hAnsi="Times New Roman" w:cs="Times New Roman"/>
          <w:szCs w:val="24"/>
          <w:lang w:val="fr-FR"/>
        </w:rPr>
        <w:t xml:space="preserve">interroger </w:t>
      </w:r>
      <w:r w:rsidR="005204EC" w:rsidRPr="007772C4">
        <w:rPr>
          <w:rFonts w:ascii="Times New Roman" w:eastAsia="Times New Roman" w:hAnsi="Times New Roman" w:cs="Times New Roman"/>
          <w:szCs w:val="24"/>
          <w:lang w:val="fr-FR"/>
        </w:rPr>
        <w:t xml:space="preserve">son </w:t>
      </w:r>
      <w:r w:rsidR="00F45D6F" w:rsidRPr="007772C4">
        <w:rPr>
          <w:rFonts w:ascii="Times New Roman" w:eastAsia="Times New Roman" w:hAnsi="Times New Roman" w:cs="Times New Roman"/>
          <w:szCs w:val="24"/>
          <w:lang w:val="fr-FR"/>
        </w:rPr>
        <w:t>co</w:t>
      </w:r>
      <w:r w:rsidR="005204EC" w:rsidRPr="007772C4">
        <w:rPr>
          <w:rFonts w:ascii="Times New Roman" w:eastAsia="Times New Roman" w:hAnsi="Times New Roman" w:cs="Times New Roman"/>
          <w:szCs w:val="24"/>
          <w:lang w:val="fr-FR"/>
        </w:rPr>
        <w:t>ï</w:t>
      </w:r>
      <w:r w:rsidR="00F45D6F" w:rsidRPr="007772C4">
        <w:rPr>
          <w:rFonts w:ascii="Times New Roman" w:eastAsia="Times New Roman" w:hAnsi="Times New Roman" w:cs="Times New Roman"/>
          <w:szCs w:val="24"/>
          <w:lang w:val="fr-FR"/>
        </w:rPr>
        <w:t>nculpé</w:t>
      </w:r>
      <w:r w:rsidR="005204EC" w:rsidRPr="007772C4">
        <w:rPr>
          <w:rFonts w:ascii="Times New Roman" w:eastAsia="Times New Roman" w:hAnsi="Times New Roman" w:cs="Times New Roman"/>
          <w:szCs w:val="24"/>
          <w:lang w:val="fr-FR"/>
        </w:rPr>
        <w:t>,</w:t>
      </w:r>
      <w:r w:rsidR="00F45D6F" w:rsidRPr="007772C4">
        <w:rPr>
          <w:rFonts w:ascii="Times New Roman" w:eastAsia="Times New Roman" w:hAnsi="Times New Roman" w:cs="Times New Roman"/>
          <w:szCs w:val="24"/>
          <w:lang w:val="fr-FR"/>
        </w:rPr>
        <w:t xml:space="preserve"> </w:t>
      </w:r>
      <w:r w:rsidR="005204EC" w:rsidRPr="007772C4">
        <w:rPr>
          <w:rFonts w:ascii="Times New Roman" w:eastAsia="Times New Roman" w:hAnsi="Times New Roman" w:cs="Times New Roman"/>
          <w:szCs w:val="24"/>
          <w:lang w:val="fr-FR"/>
        </w:rPr>
        <w:t>qu</w:t>
      </w:r>
      <w:r w:rsidR="007772C4" w:rsidRPr="007772C4">
        <w:rPr>
          <w:rFonts w:ascii="Times New Roman" w:eastAsia="Times New Roman" w:hAnsi="Times New Roman" w:cs="Times New Roman"/>
          <w:szCs w:val="24"/>
          <w:lang w:val="fr-FR"/>
        </w:rPr>
        <w:t>’</w:t>
      </w:r>
      <w:r w:rsidR="005204EC" w:rsidRPr="007772C4">
        <w:rPr>
          <w:rFonts w:ascii="Times New Roman" w:eastAsia="Times New Roman" w:hAnsi="Times New Roman" w:cs="Times New Roman"/>
          <w:szCs w:val="24"/>
          <w:lang w:val="fr-FR"/>
        </w:rPr>
        <w:t xml:space="preserve">il </w:t>
      </w:r>
      <w:r w:rsidR="00F45D6F" w:rsidRPr="007772C4">
        <w:rPr>
          <w:rFonts w:ascii="Times New Roman" w:eastAsia="Times New Roman" w:hAnsi="Times New Roman" w:cs="Times New Roman"/>
          <w:szCs w:val="24"/>
          <w:lang w:val="fr-FR"/>
        </w:rPr>
        <w:t>ne l</w:t>
      </w:r>
      <w:r w:rsidR="007772C4" w:rsidRPr="007772C4">
        <w:rPr>
          <w:rFonts w:ascii="Times New Roman" w:eastAsia="Times New Roman" w:hAnsi="Times New Roman" w:cs="Times New Roman"/>
          <w:szCs w:val="24"/>
          <w:lang w:val="fr-FR"/>
        </w:rPr>
        <w:t>’</w:t>
      </w:r>
      <w:r w:rsidR="00F45D6F" w:rsidRPr="007772C4">
        <w:rPr>
          <w:rFonts w:ascii="Times New Roman" w:eastAsia="Times New Roman" w:hAnsi="Times New Roman" w:cs="Times New Roman"/>
          <w:szCs w:val="24"/>
          <w:lang w:val="fr-FR"/>
        </w:rPr>
        <w:t>a pas fait</w:t>
      </w:r>
      <w:r w:rsidR="005204EC" w:rsidRPr="007772C4">
        <w:rPr>
          <w:rFonts w:ascii="Times New Roman" w:eastAsia="Times New Roman" w:hAnsi="Times New Roman" w:cs="Times New Roman"/>
          <w:szCs w:val="24"/>
          <w:lang w:val="fr-FR"/>
        </w:rPr>
        <w:t xml:space="preserve"> et qu</w:t>
      </w:r>
      <w:r w:rsidR="007772C4" w:rsidRPr="007772C4">
        <w:rPr>
          <w:rFonts w:ascii="Times New Roman" w:eastAsia="Times New Roman" w:hAnsi="Times New Roman" w:cs="Times New Roman"/>
          <w:szCs w:val="24"/>
          <w:lang w:val="fr-FR"/>
        </w:rPr>
        <w:t>’</w:t>
      </w:r>
      <w:r w:rsidR="00F45D6F" w:rsidRPr="007772C4">
        <w:rPr>
          <w:rFonts w:ascii="Times New Roman" w:eastAsia="Times New Roman" w:hAnsi="Times New Roman" w:cs="Times New Roman"/>
          <w:szCs w:val="24"/>
          <w:lang w:val="fr-FR"/>
        </w:rPr>
        <w:t>il n</w:t>
      </w:r>
      <w:r w:rsidR="007772C4" w:rsidRPr="007772C4">
        <w:rPr>
          <w:rFonts w:ascii="Times New Roman" w:eastAsia="Times New Roman" w:hAnsi="Times New Roman" w:cs="Times New Roman"/>
          <w:szCs w:val="24"/>
          <w:lang w:val="fr-FR"/>
        </w:rPr>
        <w:t>’</w:t>
      </w:r>
      <w:r w:rsidR="00F45D6F" w:rsidRPr="007772C4">
        <w:rPr>
          <w:rFonts w:ascii="Times New Roman" w:eastAsia="Times New Roman" w:hAnsi="Times New Roman" w:cs="Times New Roman"/>
          <w:szCs w:val="24"/>
          <w:lang w:val="fr-FR"/>
        </w:rPr>
        <w:t xml:space="preserve">a </w:t>
      </w:r>
      <w:r w:rsidR="00443613" w:rsidRPr="007772C4">
        <w:rPr>
          <w:rFonts w:ascii="Times New Roman" w:eastAsia="Times New Roman" w:hAnsi="Times New Roman" w:cs="Times New Roman"/>
          <w:szCs w:val="24"/>
          <w:lang w:val="fr-FR"/>
        </w:rPr>
        <w:t xml:space="preserve">pas non plus </w:t>
      </w:r>
      <w:r w:rsidR="00C424D6" w:rsidRPr="007772C4">
        <w:rPr>
          <w:rFonts w:ascii="Times New Roman" w:eastAsia="Times New Roman" w:hAnsi="Times New Roman" w:cs="Times New Roman"/>
          <w:szCs w:val="24"/>
          <w:lang w:val="fr-FR"/>
        </w:rPr>
        <w:t>produit</w:t>
      </w:r>
      <w:r w:rsidR="00F45D6F" w:rsidRPr="007772C4">
        <w:rPr>
          <w:rFonts w:ascii="Times New Roman" w:eastAsia="Times New Roman" w:hAnsi="Times New Roman" w:cs="Times New Roman"/>
          <w:szCs w:val="24"/>
          <w:lang w:val="fr-FR"/>
        </w:rPr>
        <w:t xml:space="preserve"> </w:t>
      </w:r>
      <w:r w:rsidR="00443613" w:rsidRPr="007772C4">
        <w:rPr>
          <w:rFonts w:ascii="Times New Roman" w:eastAsia="Times New Roman" w:hAnsi="Times New Roman" w:cs="Times New Roman"/>
          <w:szCs w:val="24"/>
          <w:lang w:val="fr-FR"/>
        </w:rPr>
        <w:t>d</w:t>
      </w:r>
      <w:r w:rsidR="007772C4" w:rsidRPr="007772C4">
        <w:rPr>
          <w:rFonts w:ascii="Times New Roman" w:eastAsia="Times New Roman" w:hAnsi="Times New Roman" w:cs="Times New Roman"/>
          <w:szCs w:val="24"/>
          <w:lang w:val="fr-FR"/>
        </w:rPr>
        <w:t>’</w:t>
      </w:r>
      <w:r w:rsidR="00C424D6" w:rsidRPr="007772C4">
        <w:rPr>
          <w:rFonts w:ascii="Times New Roman" w:eastAsia="Times New Roman" w:hAnsi="Times New Roman" w:cs="Times New Roman"/>
          <w:szCs w:val="24"/>
          <w:lang w:val="fr-FR"/>
        </w:rPr>
        <w:t>élément</w:t>
      </w:r>
      <w:r w:rsidR="00F45D6F" w:rsidRPr="007772C4">
        <w:rPr>
          <w:rFonts w:ascii="Times New Roman" w:eastAsia="Times New Roman" w:hAnsi="Times New Roman" w:cs="Times New Roman"/>
          <w:szCs w:val="24"/>
          <w:lang w:val="fr-FR"/>
        </w:rPr>
        <w:t xml:space="preserve"> </w:t>
      </w:r>
      <w:r w:rsidR="00C424D6" w:rsidRPr="007772C4">
        <w:rPr>
          <w:rFonts w:ascii="Times New Roman" w:eastAsia="Times New Roman" w:hAnsi="Times New Roman" w:cs="Times New Roman"/>
          <w:szCs w:val="24"/>
          <w:lang w:val="fr-FR"/>
        </w:rPr>
        <w:t>utile</w:t>
      </w:r>
      <w:r w:rsidR="00F45D6F" w:rsidRPr="007772C4">
        <w:rPr>
          <w:rFonts w:ascii="Times New Roman" w:eastAsia="Times New Roman" w:hAnsi="Times New Roman" w:cs="Times New Roman"/>
          <w:szCs w:val="24"/>
          <w:lang w:val="fr-FR"/>
        </w:rPr>
        <w:t xml:space="preserve"> </w:t>
      </w:r>
      <w:r w:rsidR="001724FD" w:rsidRPr="007772C4">
        <w:rPr>
          <w:rFonts w:ascii="Times New Roman" w:eastAsia="Times New Roman" w:hAnsi="Times New Roman" w:cs="Times New Roman"/>
          <w:szCs w:val="24"/>
          <w:lang w:val="fr-FR"/>
        </w:rPr>
        <w:t>à</w:t>
      </w:r>
      <w:r w:rsidR="00F45D6F" w:rsidRPr="007772C4">
        <w:rPr>
          <w:rFonts w:ascii="Times New Roman" w:eastAsia="Times New Roman" w:hAnsi="Times New Roman" w:cs="Times New Roman"/>
          <w:szCs w:val="24"/>
          <w:lang w:val="fr-FR"/>
        </w:rPr>
        <w:t xml:space="preserve"> sa</w:t>
      </w:r>
      <w:r w:rsidR="00F518D2" w:rsidRPr="007772C4">
        <w:rPr>
          <w:rFonts w:ascii="Times New Roman" w:eastAsia="Times New Roman" w:hAnsi="Times New Roman" w:cs="Times New Roman"/>
          <w:szCs w:val="24"/>
          <w:lang w:val="fr-FR"/>
        </w:rPr>
        <w:t xml:space="preserve"> défense. </w:t>
      </w:r>
      <w:r w:rsidR="00AF51F0" w:rsidRPr="007772C4">
        <w:rPr>
          <w:rFonts w:ascii="Times New Roman" w:eastAsia="Times New Roman" w:hAnsi="Times New Roman" w:cs="Times New Roman"/>
          <w:szCs w:val="24"/>
          <w:lang w:val="fr-FR"/>
        </w:rPr>
        <w:t>Il ajoute que</w:t>
      </w:r>
      <w:r w:rsidR="001724FD" w:rsidRPr="007772C4">
        <w:rPr>
          <w:lang w:val="fr-FR"/>
        </w:rPr>
        <w:t xml:space="preserve"> les juridictions </w:t>
      </w:r>
      <w:r w:rsidR="00AF51F0" w:rsidRPr="007772C4">
        <w:rPr>
          <w:lang w:val="fr-FR"/>
        </w:rPr>
        <w:t xml:space="preserve">internes </w:t>
      </w:r>
      <w:r w:rsidR="001724FD" w:rsidRPr="007772C4">
        <w:rPr>
          <w:lang w:val="fr-FR"/>
        </w:rPr>
        <w:t>ont attentivement évalué l</w:t>
      </w:r>
      <w:r w:rsidR="007772C4" w:rsidRPr="007772C4">
        <w:rPr>
          <w:lang w:val="fr-FR"/>
        </w:rPr>
        <w:t>’</w:t>
      </w:r>
      <w:r w:rsidR="001724FD" w:rsidRPr="007772C4">
        <w:rPr>
          <w:lang w:val="fr-FR"/>
        </w:rPr>
        <w:t>existence d</w:t>
      </w:r>
      <w:r w:rsidR="007772C4" w:rsidRPr="007772C4">
        <w:rPr>
          <w:lang w:val="fr-FR"/>
        </w:rPr>
        <w:t>’</w:t>
      </w:r>
      <w:r w:rsidR="001724FD" w:rsidRPr="007772C4">
        <w:rPr>
          <w:lang w:val="fr-FR"/>
        </w:rPr>
        <w:t>éventue</w:t>
      </w:r>
      <w:r w:rsidR="00443613" w:rsidRPr="007772C4">
        <w:rPr>
          <w:lang w:val="fr-FR"/>
        </w:rPr>
        <w:t>l</w:t>
      </w:r>
      <w:r w:rsidR="001724FD" w:rsidRPr="007772C4">
        <w:rPr>
          <w:lang w:val="fr-FR"/>
        </w:rPr>
        <w:t>l</w:t>
      </w:r>
      <w:r w:rsidR="00443613" w:rsidRPr="007772C4">
        <w:rPr>
          <w:lang w:val="fr-FR"/>
        </w:rPr>
        <w:t>e</w:t>
      </w:r>
      <w:r w:rsidR="001724FD" w:rsidRPr="007772C4">
        <w:rPr>
          <w:lang w:val="fr-FR"/>
        </w:rPr>
        <w:t xml:space="preserve">s </w:t>
      </w:r>
      <w:r w:rsidR="00443613" w:rsidRPr="007772C4">
        <w:rPr>
          <w:lang w:val="fr-FR"/>
        </w:rPr>
        <w:t xml:space="preserve">relations </w:t>
      </w:r>
      <w:r w:rsidR="001724FD" w:rsidRPr="007772C4">
        <w:rPr>
          <w:lang w:val="fr-FR"/>
        </w:rPr>
        <w:t xml:space="preserve">entre C.C. et le requérant. </w:t>
      </w:r>
      <w:r w:rsidR="00AF51F0" w:rsidRPr="007772C4">
        <w:rPr>
          <w:lang w:val="fr-FR"/>
        </w:rPr>
        <w:t xml:space="preserve">Il </w:t>
      </w:r>
      <w:r w:rsidR="00443613" w:rsidRPr="007772C4">
        <w:rPr>
          <w:lang w:val="fr-FR"/>
        </w:rPr>
        <w:t>considère</w:t>
      </w:r>
      <w:r w:rsidR="00AF51F0" w:rsidRPr="007772C4">
        <w:rPr>
          <w:lang w:val="fr-FR"/>
        </w:rPr>
        <w:t xml:space="preserve"> donc que l</w:t>
      </w:r>
      <w:r w:rsidR="007772C4" w:rsidRPr="007772C4">
        <w:rPr>
          <w:lang w:val="fr-FR"/>
        </w:rPr>
        <w:t>’</w:t>
      </w:r>
      <w:r w:rsidR="001724FD" w:rsidRPr="007772C4">
        <w:rPr>
          <w:lang w:val="fr-FR"/>
        </w:rPr>
        <w:t xml:space="preserve">admission de la déposition de C.C. </w:t>
      </w:r>
      <w:r w:rsidR="0072658F" w:rsidRPr="007772C4">
        <w:rPr>
          <w:lang w:val="fr-FR"/>
        </w:rPr>
        <w:t>a</w:t>
      </w:r>
      <w:r w:rsidR="001724FD" w:rsidRPr="007772C4">
        <w:rPr>
          <w:lang w:val="fr-FR"/>
        </w:rPr>
        <w:t xml:space="preserve"> été contrebalancée par des garanties procédurales suffisantes.</w:t>
      </w:r>
    </w:p>
    <w:p w:rsidR="00F45D6F" w:rsidRPr="007772C4" w:rsidRDefault="00527B46" w:rsidP="007772C4">
      <w:pPr>
        <w:pStyle w:val="ECHRHeading3"/>
        <w:rPr>
          <w:rFonts w:eastAsia="Times New Roman"/>
          <w:lang w:val="fr-FR"/>
        </w:rPr>
      </w:pPr>
      <w:r w:rsidRPr="007772C4">
        <w:rPr>
          <w:rFonts w:eastAsia="Times New Roman"/>
          <w:lang w:val="fr-FR"/>
        </w:rPr>
        <w:t>2.  Appréciation de la Cour</w:t>
      </w:r>
    </w:p>
    <w:p w:rsidR="00950EF6" w:rsidRPr="007772C4" w:rsidRDefault="00950EF6" w:rsidP="007772C4">
      <w:pPr>
        <w:pStyle w:val="ECHRHeading4"/>
        <w:rPr>
          <w:rFonts w:eastAsia="Times New Roman"/>
          <w:lang w:val="fr-FR"/>
        </w:rPr>
      </w:pPr>
      <w:r w:rsidRPr="007772C4">
        <w:rPr>
          <w:rFonts w:eastAsia="Times New Roman"/>
          <w:lang w:val="fr-FR"/>
        </w:rPr>
        <w:t>a)</w:t>
      </w:r>
      <w:r w:rsidR="00EA2400" w:rsidRPr="007772C4">
        <w:rPr>
          <w:rFonts w:eastAsia="Times New Roman"/>
          <w:lang w:val="fr-FR"/>
        </w:rPr>
        <w:t>  </w:t>
      </w:r>
      <w:r w:rsidRPr="007772C4">
        <w:rPr>
          <w:rFonts w:eastAsia="Times New Roman"/>
          <w:lang w:val="fr-FR"/>
        </w:rPr>
        <w:t>Principes généraux</w:t>
      </w:r>
    </w:p>
    <w:p w:rsidR="00E66170" w:rsidRPr="007772C4" w:rsidRDefault="00F518D2" w:rsidP="007772C4">
      <w:pPr>
        <w:pStyle w:val="ECHRPara"/>
        <w:rPr>
          <w:rFonts w:cs="Times New Roman"/>
          <w:i/>
          <w:iCs/>
          <w:lang w:val="fr-FR"/>
        </w:rPr>
      </w:pPr>
      <w:r w:rsidRPr="007772C4">
        <w:rPr>
          <w:rFonts w:eastAsia="Times New Roman"/>
          <w:lang w:val="fr-FR"/>
        </w:rPr>
        <w:fldChar w:fldCharType="begin"/>
      </w:r>
      <w:r w:rsidRPr="007772C4">
        <w:rPr>
          <w:rFonts w:eastAsia="Times New Roman"/>
          <w:lang w:val="fr-FR"/>
        </w:rPr>
        <w:instrText xml:space="preserve"> SEQ level0 \*arabic </w:instrText>
      </w:r>
      <w:r w:rsidRPr="007772C4">
        <w:rPr>
          <w:rFonts w:eastAsia="Times New Roman"/>
          <w:lang w:val="fr-FR"/>
        </w:rPr>
        <w:fldChar w:fldCharType="separate"/>
      </w:r>
      <w:r w:rsidR="007772C4" w:rsidRPr="007772C4">
        <w:rPr>
          <w:rFonts w:eastAsia="Times New Roman"/>
          <w:noProof/>
          <w:lang w:val="fr-FR"/>
        </w:rPr>
        <w:t>37</w:t>
      </w:r>
      <w:r w:rsidRPr="007772C4">
        <w:rPr>
          <w:rFonts w:eastAsia="Times New Roman"/>
          <w:lang w:val="fr-FR"/>
        </w:rPr>
        <w:fldChar w:fldCharType="end"/>
      </w:r>
      <w:r w:rsidRPr="007772C4">
        <w:rPr>
          <w:rFonts w:eastAsia="Times New Roman"/>
          <w:lang w:val="fr-FR"/>
        </w:rPr>
        <w:t>.  </w:t>
      </w:r>
      <w:r w:rsidR="00E66170" w:rsidRPr="007772C4">
        <w:rPr>
          <w:rFonts w:eastAsia="Times New Roman"/>
          <w:lang w:val="fr-FR"/>
        </w:rPr>
        <w:t>La Cour rappelle que les exigences du paragraphe 3 de l</w:t>
      </w:r>
      <w:r w:rsidR="007772C4" w:rsidRPr="007772C4">
        <w:rPr>
          <w:rFonts w:eastAsia="Times New Roman"/>
          <w:lang w:val="fr-FR"/>
        </w:rPr>
        <w:t>’</w:t>
      </w:r>
      <w:r w:rsidR="00E66170" w:rsidRPr="007772C4">
        <w:rPr>
          <w:rFonts w:eastAsia="Times New Roman"/>
          <w:lang w:val="fr-FR"/>
        </w:rPr>
        <w:t xml:space="preserve">article 6 </w:t>
      </w:r>
      <w:r w:rsidR="00AC5143" w:rsidRPr="007772C4">
        <w:rPr>
          <w:rFonts w:eastAsia="Times New Roman"/>
          <w:lang w:val="fr-FR"/>
        </w:rPr>
        <w:t xml:space="preserve">de la Convention </w:t>
      </w:r>
      <w:r w:rsidR="00E66170" w:rsidRPr="007772C4">
        <w:rPr>
          <w:rFonts w:eastAsia="Times New Roman"/>
          <w:lang w:val="fr-FR"/>
        </w:rPr>
        <w:t>représentent des aspects particuliers du droit à un procès équitable garanti par le paragraphe 1 de cette disposition. Lorsqu</w:t>
      </w:r>
      <w:r w:rsidR="007772C4" w:rsidRPr="007772C4">
        <w:rPr>
          <w:rFonts w:eastAsia="Times New Roman"/>
          <w:lang w:val="fr-FR"/>
        </w:rPr>
        <w:t>’</w:t>
      </w:r>
      <w:r w:rsidR="00E66170" w:rsidRPr="007772C4">
        <w:rPr>
          <w:rFonts w:eastAsia="Times New Roman"/>
          <w:lang w:val="fr-FR"/>
        </w:rPr>
        <w:t>elle examine un grief tiré de l</w:t>
      </w:r>
      <w:r w:rsidR="007772C4" w:rsidRPr="007772C4">
        <w:rPr>
          <w:rFonts w:eastAsia="Times New Roman"/>
          <w:lang w:val="fr-FR"/>
        </w:rPr>
        <w:t>’</w:t>
      </w:r>
      <w:r w:rsidR="00E66170" w:rsidRPr="007772C4">
        <w:rPr>
          <w:rFonts w:eastAsia="Times New Roman"/>
          <w:lang w:val="fr-FR"/>
        </w:rPr>
        <w:t xml:space="preserve">article 6, </w:t>
      </w:r>
      <w:r w:rsidR="006E2F2E" w:rsidRPr="007772C4">
        <w:rPr>
          <w:rFonts w:eastAsia="Times New Roman"/>
          <w:lang w:val="fr-FR"/>
        </w:rPr>
        <w:t>elle</w:t>
      </w:r>
      <w:r w:rsidR="00E66170" w:rsidRPr="007772C4">
        <w:rPr>
          <w:rFonts w:eastAsia="Times New Roman"/>
          <w:lang w:val="fr-FR"/>
        </w:rPr>
        <w:t xml:space="preserve"> doit essentiellement déterminer si la procédure pénale a revêtu un caractère équitable (voir, parmi beaucoup d</w:t>
      </w:r>
      <w:r w:rsidR="007772C4" w:rsidRPr="007772C4">
        <w:rPr>
          <w:rFonts w:eastAsia="Times New Roman"/>
          <w:lang w:val="fr-FR"/>
        </w:rPr>
        <w:t>’</w:t>
      </w:r>
      <w:r w:rsidR="00E66170" w:rsidRPr="007772C4">
        <w:rPr>
          <w:rFonts w:eastAsia="Times New Roman"/>
          <w:lang w:val="fr-FR"/>
        </w:rPr>
        <w:t>autres,</w:t>
      </w:r>
      <w:bookmarkStart w:id="8" w:name="_DV_C463"/>
      <w:bookmarkStart w:id="9" w:name="File3"/>
      <w:bookmarkEnd w:id="8"/>
      <w:r w:rsidR="00E66170" w:rsidRPr="007772C4">
        <w:rPr>
          <w:rFonts w:eastAsia="Times New Roman"/>
          <w:lang w:val="fr-FR"/>
        </w:rPr>
        <w:t xml:space="preserve"> </w:t>
      </w:r>
      <w:proofErr w:type="spellStart"/>
      <w:r w:rsidR="00E66170" w:rsidRPr="007772C4">
        <w:rPr>
          <w:rFonts w:eastAsia="Times New Roman"/>
          <w:i/>
          <w:lang w:val="fr-FR"/>
        </w:rPr>
        <w:t>Taxquet</w:t>
      </w:r>
      <w:bookmarkStart w:id="10" w:name="_DV_C464"/>
      <w:bookmarkEnd w:id="9"/>
      <w:proofErr w:type="spellEnd"/>
      <w:r w:rsidR="00E66170" w:rsidRPr="007772C4">
        <w:rPr>
          <w:rFonts w:eastAsia="Times New Roman"/>
          <w:i/>
          <w:lang w:val="fr-FR"/>
        </w:rPr>
        <w:t xml:space="preserve"> c. Belgique</w:t>
      </w:r>
      <w:r w:rsidR="00E66170" w:rsidRPr="007772C4">
        <w:rPr>
          <w:rFonts w:eastAsia="Times New Roman"/>
          <w:lang w:val="fr-FR"/>
        </w:rPr>
        <w:t xml:space="preserve"> [GC], n</w:t>
      </w:r>
      <w:r w:rsidR="00615CAA" w:rsidRPr="007772C4">
        <w:rPr>
          <w:rFonts w:eastAsia="Times New Roman"/>
          <w:vertAlign w:val="superscript"/>
          <w:lang w:val="fr-FR"/>
        </w:rPr>
        <w:t>o</w:t>
      </w:r>
      <w:r w:rsidR="00E66170" w:rsidRPr="007772C4">
        <w:rPr>
          <w:rFonts w:eastAsia="Times New Roman"/>
          <w:lang w:val="fr-FR"/>
        </w:rPr>
        <w:t xml:space="preserve"> 926/05, § 84, CEDH 2010). </w:t>
      </w:r>
      <w:proofErr w:type="gramStart"/>
      <w:r w:rsidR="00E66170" w:rsidRPr="007772C4">
        <w:rPr>
          <w:rFonts w:eastAsia="Times New Roman"/>
          <w:lang w:val="fr-FR"/>
        </w:rPr>
        <w:t>Pour ce faire, elle envisage la procédure dans son ensemble et vérifie le respect non seulement des droits de la défense mais aussi de l</w:t>
      </w:r>
      <w:r w:rsidR="007772C4" w:rsidRPr="007772C4">
        <w:rPr>
          <w:rFonts w:eastAsia="Times New Roman"/>
          <w:lang w:val="fr-FR"/>
        </w:rPr>
        <w:t>’</w:t>
      </w:r>
      <w:r w:rsidR="00E66170" w:rsidRPr="007772C4">
        <w:rPr>
          <w:rFonts w:eastAsia="Times New Roman"/>
          <w:lang w:val="fr-FR"/>
        </w:rPr>
        <w:t>intérêt du public et des victimes à ce que les auteurs de l</w:t>
      </w:r>
      <w:r w:rsidR="007772C4" w:rsidRPr="007772C4">
        <w:rPr>
          <w:rFonts w:eastAsia="Times New Roman"/>
          <w:lang w:val="fr-FR"/>
        </w:rPr>
        <w:t>’</w:t>
      </w:r>
      <w:r w:rsidR="00E66170" w:rsidRPr="007772C4">
        <w:rPr>
          <w:rFonts w:eastAsia="Times New Roman"/>
          <w:lang w:val="fr-FR"/>
        </w:rPr>
        <w:t>infraction soient dûment poursuivis (</w:t>
      </w:r>
      <w:bookmarkStart w:id="11" w:name="_DV_X525"/>
      <w:bookmarkStart w:id="12" w:name="_DV_C465"/>
      <w:bookmarkEnd w:id="10"/>
      <w:bookmarkEnd w:id="11"/>
      <w:proofErr w:type="spellStart"/>
      <w:r w:rsidR="00E66170" w:rsidRPr="007772C4">
        <w:rPr>
          <w:rFonts w:eastAsia="Times New Roman"/>
          <w:i/>
          <w:lang w:val="fr-FR"/>
        </w:rPr>
        <w:t>Gäfgen</w:t>
      </w:r>
      <w:proofErr w:type="spellEnd"/>
      <w:r w:rsidR="00E66170" w:rsidRPr="007772C4">
        <w:rPr>
          <w:rFonts w:eastAsia="Times New Roman"/>
          <w:i/>
          <w:lang w:val="fr-FR"/>
        </w:rPr>
        <w:t xml:space="preserve"> c. Allemagne</w:t>
      </w:r>
      <w:r w:rsidR="00E66170" w:rsidRPr="007772C4">
        <w:rPr>
          <w:rFonts w:eastAsia="Times New Roman"/>
          <w:lang w:val="fr-FR"/>
        </w:rPr>
        <w:t xml:space="preserve"> [GC], n</w:t>
      </w:r>
      <w:r w:rsidR="00615CAA" w:rsidRPr="007772C4">
        <w:rPr>
          <w:rFonts w:eastAsia="Times New Roman"/>
          <w:vertAlign w:val="superscript"/>
          <w:lang w:val="fr-FR"/>
        </w:rPr>
        <w:t>o</w:t>
      </w:r>
      <w:r w:rsidR="00E66170" w:rsidRPr="007772C4">
        <w:rPr>
          <w:rFonts w:eastAsia="Times New Roman"/>
          <w:lang w:val="fr-FR"/>
        </w:rPr>
        <w:t xml:space="preserve"> 22978/05, § </w:t>
      </w:r>
      <w:bookmarkStart w:id="13" w:name="_DV_C466"/>
      <w:bookmarkEnd w:id="12"/>
      <w:r w:rsidR="00E66170" w:rsidRPr="007772C4">
        <w:rPr>
          <w:rFonts w:eastAsia="Times New Roman"/>
          <w:lang w:val="fr-FR"/>
        </w:rPr>
        <w:t xml:space="preserve">175, CEDH 2010) et, si nécessaire, des droits des témoins (voir, parmi </w:t>
      </w:r>
      <w:r w:rsidR="006E2F2E" w:rsidRPr="007772C4">
        <w:rPr>
          <w:rFonts w:eastAsia="Times New Roman"/>
          <w:lang w:val="fr-FR"/>
        </w:rPr>
        <w:t>beaucoup d</w:t>
      </w:r>
      <w:r w:rsidR="007772C4" w:rsidRPr="007772C4">
        <w:rPr>
          <w:rFonts w:eastAsia="Times New Roman"/>
          <w:lang w:val="fr-FR"/>
        </w:rPr>
        <w:t>’</w:t>
      </w:r>
      <w:r w:rsidR="006E2F2E" w:rsidRPr="007772C4">
        <w:rPr>
          <w:rFonts w:eastAsia="Times New Roman"/>
          <w:lang w:val="fr-FR"/>
        </w:rPr>
        <w:t>autres</w:t>
      </w:r>
      <w:r w:rsidR="00E66170" w:rsidRPr="007772C4">
        <w:rPr>
          <w:rFonts w:eastAsia="Times New Roman"/>
          <w:lang w:val="fr-FR"/>
        </w:rPr>
        <w:t xml:space="preserve">, </w:t>
      </w:r>
      <w:proofErr w:type="spellStart"/>
      <w:r w:rsidR="00E66170" w:rsidRPr="007772C4">
        <w:rPr>
          <w:rFonts w:eastAsia="Times New Roman"/>
          <w:i/>
          <w:lang w:val="fr-FR"/>
        </w:rPr>
        <w:t>Doorson</w:t>
      </w:r>
      <w:proofErr w:type="spellEnd"/>
      <w:r w:rsidR="00E66170" w:rsidRPr="007772C4">
        <w:rPr>
          <w:rFonts w:eastAsia="Times New Roman"/>
          <w:i/>
          <w:lang w:val="fr-FR"/>
        </w:rPr>
        <w:t xml:space="preserve"> c. Pays-Bas</w:t>
      </w:r>
      <w:r w:rsidR="00E66170" w:rsidRPr="007772C4">
        <w:rPr>
          <w:rFonts w:eastAsia="Times New Roman"/>
          <w:lang w:val="fr-FR"/>
        </w:rPr>
        <w:t xml:space="preserve">, 26 mars 1996, § 70, </w:t>
      </w:r>
      <w:r w:rsidR="00E66170" w:rsidRPr="007772C4">
        <w:rPr>
          <w:rFonts w:eastAsia="Times New Roman"/>
          <w:i/>
          <w:lang w:val="fr-FR"/>
        </w:rPr>
        <w:t>Recueil des arrêts et décisions</w:t>
      </w:r>
      <w:r w:rsidR="00E66170" w:rsidRPr="007772C4">
        <w:rPr>
          <w:rFonts w:eastAsia="Times New Roman"/>
          <w:lang w:val="fr-FR"/>
        </w:rPr>
        <w:t xml:space="preserve"> 1996-II, et </w:t>
      </w:r>
      <w:r w:rsidR="006E2F2E" w:rsidRPr="007772C4">
        <w:rPr>
          <w:rStyle w:val="CLLItalic"/>
          <w:rFonts w:cs="Times New Roman"/>
        </w:rPr>
        <w:t>Al-</w:t>
      </w:r>
      <w:proofErr w:type="spellStart"/>
      <w:r w:rsidR="006E2F2E" w:rsidRPr="007772C4">
        <w:rPr>
          <w:rStyle w:val="CLLItalic"/>
          <w:rFonts w:cs="Times New Roman"/>
        </w:rPr>
        <w:t>Khawaja</w:t>
      </w:r>
      <w:proofErr w:type="spellEnd"/>
      <w:r w:rsidR="006E2F2E" w:rsidRPr="007772C4">
        <w:rPr>
          <w:rStyle w:val="CLLItalic"/>
          <w:rFonts w:cs="Times New Roman"/>
        </w:rPr>
        <w:t xml:space="preserve"> et </w:t>
      </w:r>
      <w:proofErr w:type="spellStart"/>
      <w:r w:rsidR="006E2F2E" w:rsidRPr="007772C4">
        <w:rPr>
          <w:rStyle w:val="CLLItalic"/>
          <w:rFonts w:cs="Times New Roman"/>
        </w:rPr>
        <w:t>Tahery</w:t>
      </w:r>
      <w:proofErr w:type="spellEnd"/>
      <w:r w:rsidR="006E2F2E" w:rsidRPr="007772C4">
        <w:rPr>
          <w:rStyle w:val="CLLItalic"/>
          <w:rFonts w:cs="Times New Roman"/>
        </w:rPr>
        <w:t xml:space="preserve"> c. Royaume-Uni </w:t>
      </w:r>
      <w:r w:rsidR="006E2F2E" w:rsidRPr="007772C4">
        <w:rPr>
          <w:lang w:val="fr-FR"/>
        </w:rPr>
        <w:t>[GC], n</w:t>
      </w:r>
      <w:r w:rsidR="006E2F2E" w:rsidRPr="007772C4">
        <w:rPr>
          <w:rStyle w:val="CLLSuperscript"/>
          <w:rFonts w:cs="Times New Roman"/>
        </w:rPr>
        <w:t>os</w:t>
      </w:r>
      <w:r w:rsidR="006E2F2E" w:rsidRPr="007772C4">
        <w:rPr>
          <w:lang w:val="fr-FR"/>
        </w:rPr>
        <w:t xml:space="preserve"> 26766/05 et 22228/06, § 118, CEDH 2011</w:t>
      </w:r>
      <w:r w:rsidR="00E66170" w:rsidRPr="007772C4">
        <w:rPr>
          <w:rFonts w:eastAsia="Times New Roman"/>
          <w:lang w:val="fr-FR"/>
        </w:rPr>
        <w:t>).</w:t>
      </w:r>
      <w:proofErr w:type="gramEnd"/>
      <w:r w:rsidR="00E66170" w:rsidRPr="007772C4">
        <w:rPr>
          <w:rFonts w:eastAsia="Times New Roman"/>
          <w:lang w:val="fr-FR"/>
        </w:rPr>
        <w:t xml:space="preserve"> </w:t>
      </w:r>
      <w:r w:rsidR="00CF259F" w:rsidRPr="007772C4">
        <w:rPr>
          <w:rFonts w:eastAsia="Times New Roman"/>
          <w:lang w:val="fr-FR"/>
        </w:rPr>
        <w:t>Elle</w:t>
      </w:r>
      <w:r w:rsidR="00E66170" w:rsidRPr="007772C4">
        <w:rPr>
          <w:rFonts w:eastAsia="Times New Roman"/>
          <w:lang w:val="fr-FR"/>
        </w:rPr>
        <w:t xml:space="preserve"> rappelle également que</w:t>
      </w:r>
      <w:r w:rsidR="00CF259F" w:rsidRPr="007772C4">
        <w:rPr>
          <w:rFonts w:eastAsia="Times New Roman"/>
          <w:lang w:val="fr-FR"/>
        </w:rPr>
        <w:t>, dans ce contexte,</w:t>
      </w:r>
      <w:r w:rsidR="00E66170" w:rsidRPr="007772C4">
        <w:rPr>
          <w:rFonts w:eastAsia="Times New Roman"/>
          <w:lang w:val="fr-FR"/>
        </w:rPr>
        <w:t xml:space="preserve"> la recevabilité des preuves relève des règles du droit interne et des juridictions nationales et que sa seule tâche consiste à déterminer si la procédure a été équitable (</w:t>
      </w:r>
      <w:proofErr w:type="spellStart"/>
      <w:r w:rsidR="00E66170" w:rsidRPr="007772C4">
        <w:rPr>
          <w:rFonts w:eastAsia="Times New Roman"/>
          <w:i/>
          <w:lang w:val="fr-FR"/>
        </w:rPr>
        <w:t>Gäfgen</w:t>
      </w:r>
      <w:proofErr w:type="spellEnd"/>
      <w:r w:rsidR="00E66170" w:rsidRPr="007772C4">
        <w:rPr>
          <w:rFonts w:eastAsia="Times New Roman"/>
          <w:lang w:val="fr-FR"/>
        </w:rPr>
        <w:t xml:space="preserve">, précité, § 162, </w:t>
      </w:r>
      <w:r w:rsidR="00CF259F" w:rsidRPr="007772C4">
        <w:rPr>
          <w:rFonts w:eastAsia="Times New Roman"/>
          <w:lang w:val="fr-FR"/>
        </w:rPr>
        <w:t xml:space="preserve">et les </w:t>
      </w:r>
      <w:r w:rsidR="00EA2400" w:rsidRPr="007772C4">
        <w:rPr>
          <w:rFonts w:eastAsia="Times New Roman"/>
          <w:lang w:val="fr-FR"/>
        </w:rPr>
        <w:t>arrêt</w:t>
      </w:r>
      <w:r w:rsidR="00CF259F" w:rsidRPr="007772C4">
        <w:rPr>
          <w:rFonts w:eastAsia="Times New Roman"/>
          <w:lang w:val="fr-FR"/>
        </w:rPr>
        <w:t>s</w:t>
      </w:r>
      <w:r w:rsidR="00E66170" w:rsidRPr="007772C4">
        <w:rPr>
          <w:rFonts w:eastAsia="Times New Roman"/>
          <w:lang w:val="fr-FR"/>
        </w:rPr>
        <w:t xml:space="preserve"> qui y sont cités).</w:t>
      </w:r>
      <w:bookmarkEnd w:id="13"/>
    </w:p>
    <w:p w:rsidR="00E66170" w:rsidRPr="007772C4" w:rsidRDefault="00CC0416" w:rsidP="007772C4">
      <w:pPr>
        <w:pStyle w:val="ECHRPara"/>
        <w:rPr>
          <w:lang w:val="fr-FR"/>
        </w:rPr>
      </w:pPr>
      <w:r w:rsidRPr="007772C4">
        <w:rPr>
          <w:rFonts w:eastAsia="Times New Roman"/>
          <w:lang w:val="fr-FR"/>
        </w:rPr>
        <w:fldChar w:fldCharType="begin"/>
      </w:r>
      <w:r w:rsidRPr="007772C4">
        <w:rPr>
          <w:rFonts w:eastAsia="Times New Roman"/>
          <w:lang w:val="fr-FR"/>
        </w:rPr>
        <w:instrText xml:space="preserve"> SEQ level0 \*arabic </w:instrText>
      </w:r>
      <w:r w:rsidRPr="007772C4">
        <w:rPr>
          <w:rFonts w:eastAsia="Times New Roman"/>
          <w:lang w:val="fr-FR"/>
        </w:rPr>
        <w:fldChar w:fldCharType="separate"/>
      </w:r>
      <w:r w:rsidR="007772C4" w:rsidRPr="007772C4">
        <w:rPr>
          <w:rFonts w:eastAsia="Times New Roman"/>
          <w:noProof/>
          <w:lang w:val="fr-FR"/>
        </w:rPr>
        <w:t>38</w:t>
      </w:r>
      <w:r w:rsidRPr="007772C4">
        <w:rPr>
          <w:rFonts w:eastAsia="Times New Roman"/>
          <w:lang w:val="fr-FR"/>
        </w:rPr>
        <w:fldChar w:fldCharType="end"/>
      </w:r>
      <w:r w:rsidRPr="007772C4">
        <w:rPr>
          <w:rFonts w:eastAsia="Times New Roman"/>
          <w:lang w:val="fr-FR"/>
        </w:rPr>
        <w:t>.  </w:t>
      </w:r>
      <w:r w:rsidR="00E66170" w:rsidRPr="007772C4">
        <w:rPr>
          <w:rFonts w:eastAsia="Times New Roman"/>
          <w:lang w:val="fr-FR"/>
        </w:rPr>
        <w:t>L</w:t>
      </w:r>
      <w:r w:rsidR="007772C4" w:rsidRPr="007772C4">
        <w:rPr>
          <w:rFonts w:eastAsia="Times New Roman"/>
          <w:lang w:val="fr-FR"/>
        </w:rPr>
        <w:t>’</w:t>
      </w:r>
      <w:r w:rsidR="00E66170" w:rsidRPr="007772C4">
        <w:rPr>
          <w:rFonts w:eastAsia="Times New Roman"/>
          <w:lang w:val="fr-FR"/>
        </w:rPr>
        <w:t>article 6 § 3 d) consacre le principe selon lequel, avant qu</w:t>
      </w:r>
      <w:r w:rsidR="007772C4" w:rsidRPr="007772C4">
        <w:rPr>
          <w:rFonts w:eastAsia="Times New Roman"/>
          <w:lang w:val="fr-FR"/>
        </w:rPr>
        <w:t>’</w:t>
      </w:r>
      <w:r w:rsidR="00E66170" w:rsidRPr="007772C4">
        <w:rPr>
          <w:rFonts w:eastAsia="Times New Roman"/>
          <w:lang w:val="fr-FR"/>
        </w:rPr>
        <w:t>un accusé puisse être déclaré coupable, tous les éléments à charge doivent en principe être produits devant lui en audience publique, en vue d</w:t>
      </w:r>
      <w:r w:rsidR="007772C4" w:rsidRPr="007772C4">
        <w:rPr>
          <w:rFonts w:eastAsia="Times New Roman"/>
          <w:lang w:val="fr-FR"/>
        </w:rPr>
        <w:t>’</w:t>
      </w:r>
      <w:r w:rsidR="00E66170" w:rsidRPr="007772C4">
        <w:rPr>
          <w:rFonts w:eastAsia="Times New Roman"/>
          <w:lang w:val="fr-FR"/>
        </w:rPr>
        <w:t xml:space="preserve">un débat </w:t>
      </w:r>
      <w:r w:rsidR="00E66170" w:rsidRPr="007772C4">
        <w:rPr>
          <w:rFonts w:eastAsia="Times New Roman"/>
          <w:lang w:val="fr-FR"/>
        </w:rPr>
        <w:lastRenderedPageBreak/>
        <w:t xml:space="preserve">contradictoire. </w:t>
      </w:r>
      <w:proofErr w:type="gramStart"/>
      <w:r w:rsidR="00E66170" w:rsidRPr="007772C4">
        <w:rPr>
          <w:rFonts w:eastAsia="Times New Roman"/>
          <w:lang w:val="fr-FR"/>
        </w:rPr>
        <w:t>Ce principe ne va pas sans exceptions, mais on ne peut les accepter que sous réserve des droits de la défense ; en règle générale, ceux</w:t>
      </w:r>
      <w:r w:rsidR="001E199F" w:rsidRPr="007772C4">
        <w:rPr>
          <w:rFonts w:eastAsia="Times New Roman"/>
          <w:lang w:val="fr-FR"/>
        </w:rPr>
        <w:t>-</w:t>
      </w:r>
      <w:r w:rsidR="00E66170" w:rsidRPr="007772C4">
        <w:rPr>
          <w:rFonts w:eastAsia="Times New Roman"/>
          <w:lang w:val="fr-FR"/>
        </w:rPr>
        <w:t>ci commandent de donner à l</w:t>
      </w:r>
      <w:r w:rsidR="007772C4" w:rsidRPr="007772C4">
        <w:rPr>
          <w:rFonts w:eastAsia="Times New Roman"/>
          <w:lang w:val="fr-FR"/>
        </w:rPr>
        <w:t>’</w:t>
      </w:r>
      <w:r w:rsidR="00E66170" w:rsidRPr="007772C4">
        <w:rPr>
          <w:rFonts w:eastAsia="Times New Roman"/>
          <w:lang w:val="fr-FR"/>
        </w:rPr>
        <w:t>accusé une possibilité adéquate et suffisante de contester les témoignages à charge et d</w:t>
      </w:r>
      <w:r w:rsidR="007772C4" w:rsidRPr="007772C4">
        <w:rPr>
          <w:rFonts w:eastAsia="Times New Roman"/>
          <w:lang w:val="fr-FR"/>
        </w:rPr>
        <w:t>’</w:t>
      </w:r>
      <w:r w:rsidR="00E66170" w:rsidRPr="007772C4">
        <w:rPr>
          <w:rFonts w:eastAsia="Times New Roman"/>
          <w:lang w:val="fr-FR"/>
        </w:rPr>
        <w:t>en interroger les auteurs, soit au moment de leur déposition, soit à un stade ultérieur (</w:t>
      </w:r>
      <w:proofErr w:type="spellStart"/>
      <w:r w:rsidR="00E66170" w:rsidRPr="007772C4">
        <w:rPr>
          <w:rFonts w:eastAsia="Times New Roman"/>
          <w:i/>
          <w:lang w:val="fr-FR"/>
        </w:rPr>
        <w:t>Lucà</w:t>
      </w:r>
      <w:proofErr w:type="spellEnd"/>
      <w:r w:rsidR="00E66170" w:rsidRPr="007772C4">
        <w:rPr>
          <w:rFonts w:eastAsia="Times New Roman"/>
          <w:i/>
          <w:lang w:val="fr-FR"/>
        </w:rPr>
        <w:t xml:space="preserve"> c.</w:t>
      </w:r>
      <w:r w:rsidR="00BE1B25" w:rsidRPr="007772C4">
        <w:rPr>
          <w:rFonts w:eastAsia="Times New Roman"/>
          <w:i/>
          <w:lang w:val="fr-FR"/>
        </w:rPr>
        <w:t> </w:t>
      </w:r>
      <w:r w:rsidR="00E66170" w:rsidRPr="007772C4">
        <w:rPr>
          <w:rFonts w:eastAsia="Times New Roman"/>
          <w:i/>
          <w:lang w:val="fr-FR"/>
        </w:rPr>
        <w:t>Italie,</w:t>
      </w:r>
      <w:r w:rsidR="00E66170" w:rsidRPr="007772C4">
        <w:rPr>
          <w:rFonts w:eastAsia="Times New Roman"/>
          <w:lang w:val="fr-FR"/>
        </w:rPr>
        <w:t xml:space="preserve"> n</w:t>
      </w:r>
      <w:r w:rsidR="00615CAA" w:rsidRPr="007772C4">
        <w:rPr>
          <w:rFonts w:eastAsia="Times New Roman"/>
          <w:vertAlign w:val="superscript"/>
          <w:lang w:val="fr-FR"/>
        </w:rPr>
        <w:t>o</w:t>
      </w:r>
      <w:r w:rsidR="00D21185" w:rsidRPr="007772C4">
        <w:rPr>
          <w:rFonts w:eastAsia="Times New Roman"/>
          <w:lang w:val="fr-FR"/>
        </w:rPr>
        <w:t> </w:t>
      </w:r>
      <w:hyperlink r:id="rId17" w:anchor="{&quot;appno&quot;:[&quot;33354/96&quot;]}" w:tgtFrame="_blank" w:history="1">
        <w:r w:rsidR="00E66170" w:rsidRPr="007772C4">
          <w:rPr>
            <w:rFonts w:eastAsia="Times New Roman"/>
            <w:lang w:val="fr-FR"/>
          </w:rPr>
          <w:t>33354/96</w:t>
        </w:r>
      </w:hyperlink>
      <w:r w:rsidR="00E66170" w:rsidRPr="007772C4">
        <w:rPr>
          <w:rFonts w:eastAsia="Times New Roman"/>
          <w:lang w:val="fr-FR"/>
        </w:rPr>
        <w:t xml:space="preserve">, § 39, CEDH 2001-II, et </w:t>
      </w:r>
      <w:proofErr w:type="spellStart"/>
      <w:r w:rsidR="00BE1B25" w:rsidRPr="007772C4">
        <w:rPr>
          <w:rStyle w:val="CLLItalic"/>
          <w:rFonts w:cs="Times New Roman"/>
        </w:rPr>
        <w:t>Solakov</w:t>
      </w:r>
      <w:proofErr w:type="spellEnd"/>
      <w:r w:rsidR="00BE1B25" w:rsidRPr="007772C4">
        <w:rPr>
          <w:rStyle w:val="CLLItalic"/>
          <w:rFonts w:cs="Times New Roman"/>
        </w:rPr>
        <w:t xml:space="preserve"> c. l</w:t>
      </w:r>
      <w:r w:rsidR="007772C4" w:rsidRPr="007772C4">
        <w:rPr>
          <w:rStyle w:val="CLLItalic"/>
          <w:rFonts w:cs="Times New Roman"/>
        </w:rPr>
        <w:t>’</w:t>
      </w:r>
      <w:r w:rsidR="00BE1B25" w:rsidRPr="007772C4">
        <w:rPr>
          <w:rStyle w:val="CLLItalic"/>
          <w:rFonts w:cs="Times New Roman"/>
        </w:rPr>
        <w:t>ex-République yougoslave de Macédoine</w:t>
      </w:r>
      <w:r w:rsidR="00BE1B25" w:rsidRPr="007772C4">
        <w:rPr>
          <w:lang w:val="fr-FR"/>
        </w:rPr>
        <w:t>, n</w:t>
      </w:r>
      <w:r w:rsidR="00BE1B25" w:rsidRPr="007772C4">
        <w:rPr>
          <w:rStyle w:val="CLLSuperscript"/>
          <w:rFonts w:cs="Times New Roman"/>
        </w:rPr>
        <w:t>o</w:t>
      </w:r>
      <w:r w:rsidR="00BE1B25" w:rsidRPr="007772C4">
        <w:rPr>
          <w:lang w:val="fr-FR"/>
        </w:rPr>
        <w:t xml:space="preserve"> 47023/99, § </w:t>
      </w:r>
      <w:r w:rsidR="00BE1B25" w:rsidRPr="007772C4">
        <w:rPr>
          <w:rFonts w:eastAsia="Times New Roman"/>
          <w:lang w:val="fr-FR"/>
        </w:rPr>
        <w:t>57</w:t>
      </w:r>
      <w:r w:rsidR="00BE1B25" w:rsidRPr="007772C4">
        <w:rPr>
          <w:lang w:val="fr-FR"/>
        </w:rPr>
        <w:t>, CEDH 2001</w:t>
      </w:r>
      <w:r w:rsidR="00BE1B25" w:rsidRPr="007772C4">
        <w:rPr>
          <w:lang w:val="fr-FR"/>
        </w:rPr>
        <w:noBreakHyphen/>
        <w:t>X</w:t>
      </w:r>
      <w:r w:rsidR="00E66170" w:rsidRPr="007772C4">
        <w:rPr>
          <w:rFonts w:eastAsia="Times New Roman"/>
          <w:lang w:val="fr-FR"/>
        </w:rPr>
        <w:t>).</w:t>
      </w:r>
      <w:proofErr w:type="gramEnd"/>
    </w:p>
    <w:p w:rsidR="00E66170" w:rsidRPr="007772C4" w:rsidRDefault="00CC0416" w:rsidP="007772C4">
      <w:pPr>
        <w:pStyle w:val="ECHRPara"/>
        <w:rPr>
          <w:rFonts w:eastAsia="Times New Roman"/>
          <w:lang w:val="fr-FR"/>
        </w:rPr>
      </w:pPr>
      <w:r w:rsidRPr="007772C4">
        <w:rPr>
          <w:rFonts w:eastAsia="Times New Roman"/>
          <w:lang w:val="fr-FR"/>
        </w:rPr>
        <w:fldChar w:fldCharType="begin"/>
      </w:r>
      <w:r w:rsidRPr="007772C4">
        <w:rPr>
          <w:rFonts w:eastAsia="Times New Roman"/>
          <w:lang w:val="fr-FR"/>
        </w:rPr>
        <w:instrText xml:space="preserve"> SEQ level0 \*arabic </w:instrText>
      </w:r>
      <w:r w:rsidRPr="007772C4">
        <w:rPr>
          <w:rFonts w:eastAsia="Times New Roman"/>
          <w:lang w:val="fr-FR"/>
        </w:rPr>
        <w:fldChar w:fldCharType="separate"/>
      </w:r>
      <w:r w:rsidR="007772C4" w:rsidRPr="007772C4">
        <w:rPr>
          <w:rFonts w:eastAsia="Times New Roman"/>
          <w:noProof/>
          <w:lang w:val="fr-FR"/>
        </w:rPr>
        <w:t>39</w:t>
      </w:r>
      <w:r w:rsidRPr="007772C4">
        <w:rPr>
          <w:rFonts w:eastAsia="Times New Roman"/>
          <w:lang w:val="fr-FR"/>
        </w:rPr>
        <w:fldChar w:fldCharType="end"/>
      </w:r>
      <w:r w:rsidRPr="007772C4">
        <w:rPr>
          <w:rFonts w:eastAsia="Times New Roman"/>
          <w:lang w:val="fr-FR"/>
        </w:rPr>
        <w:t>.  </w:t>
      </w:r>
      <w:proofErr w:type="gramStart"/>
      <w:r w:rsidR="00E66170" w:rsidRPr="007772C4">
        <w:rPr>
          <w:rFonts w:eastAsia="Times New Roman"/>
          <w:lang w:val="fr-FR"/>
        </w:rPr>
        <w:t xml:space="preserve">Eu égard aux principes établis dans </w:t>
      </w:r>
      <w:r w:rsidR="00BE7E6F" w:rsidRPr="007772C4">
        <w:rPr>
          <w:rFonts w:eastAsia="Times New Roman"/>
          <w:lang w:val="fr-FR"/>
        </w:rPr>
        <w:t>l</w:t>
      </w:r>
      <w:r w:rsidR="007772C4" w:rsidRPr="007772C4">
        <w:rPr>
          <w:rFonts w:eastAsia="Times New Roman"/>
          <w:lang w:val="fr-FR"/>
        </w:rPr>
        <w:t>’</w:t>
      </w:r>
      <w:r w:rsidR="00BE7E6F" w:rsidRPr="007772C4">
        <w:rPr>
          <w:rFonts w:eastAsia="Times New Roman"/>
          <w:lang w:val="fr-FR"/>
        </w:rPr>
        <w:t xml:space="preserve">arrêt </w:t>
      </w:r>
      <w:r w:rsidR="00E66170" w:rsidRPr="007772C4">
        <w:rPr>
          <w:rFonts w:eastAsia="Times New Roman"/>
          <w:lang w:val="fr-FR"/>
        </w:rPr>
        <w:t xml:space="preserve">de Grande Chambre </w:t>
      </w:r>
      <w:r w:rsidR="00E66170" w:rsidRPr="007772C4">
        <w:rPr>
          <w:rFonts w:eastAsia="Times New Roman"/>
          <w:i/>
          <w:lang w:val="fr-FR"/>
        </w:rPr>
        <w:t>Al</w:t>
      </w:r>
      <w:r w:rsidR="00E66170" w:rsidRPr="007772C4">
        <w:rPr>
          <w:rFonts w:eastAsia="Times New Roman"/>
          <w:i/>
          <w:lang w:val="fr-FR"/>
        </w:rPr>
        <w:noBreakHyphen/>
      </w:r>
      <w:proofErr w:type="spellStart"/>
      <w:r w:rsidR="00E66170" w:rsidRPr="007772C4">
        <w:rPr>
          <w:rFonts w:eastAsia="Times New Roman"/>
          <w:i/>
          <w:lang w:val="fr-FR"/>
        </w:rPr>
        <w:t>Khawaja</w:t>
      </w:r>
      <w:proofErr w:type="spellEnd"/>
      <w:r w:rsidR="00E66170" w:rsidRPr="007772C4">
        <w:rPr>
          <w:rFonts w:eastAsia="Times New Roman"/>
          <w:i/>
          <w:lang w:val="fr-FR"/>
        </w:rPr>
        <w:t xml:space="preserve"> et </w:t>
      </w:r>
      <w:proofErr w:type="spellStart"/>
      <w:r w:rsidR="00E66170" w:rsidRPr="007772C4">
        <w:rPr>
          <w:rFonts w:eastAsia="Times New Roman"/>
          <w:i/>
          <w:lang w:val="fr-FR"/>
        </w:rPr>
        <w:t>Tahery</w:t>
      </w:r>
      <w:proofErr w:type="spellEnd"/>
      <w:r w:rsidR="00E66170" w:rsidRPr="007772C4">
        <w:rPr>
          <w:rFonts w:eastAsia="Times New Roman"/>
          <w:lang w:val="fr-FR"/>
        </w:rPr>
        <w:t xml:space="preserve"> </w:t>
      </w:r>
      <w:r w:rsidR="00BE7E6F" w:rsidRPr="007772C4">
        <w:rPr>
          <w:rFonts w:eastAsia="Times New Roman"/>
          <w:lang w:val="fr-FR"/>
        </w:rPr>
        <w:t>(</w:t>
      </w:r>
      <w:r w:rsidR="00E66170" w:rsidRPr="007772C4">
        <w:rPr>
          <w:rFonts w:eastAsia="Times New Roman"/>
          <w:lang w:val="fr-FR"/>
        </w:rPr>
        <w:t>précité</w:t>
      </w:r>
      <w:r w:rsidR="00BE7E6F" w:rsidRPr="007772C4">
        <w:rPr>
          <w:rFonts w:eastAsia="Times New Roman"/>
          <w:lang w:val="fr-FR"/>
        </w:rPr>
        <w:t>)</w:t>
      </w:r>
      <w:r w:rsidR="00E66170" w:rsidRPr="007772C4">
        <w:rPr>
          <w:rFonts w:eastAsia="Times New Roman"/>
          <w:lang w:val="fr-FR"/>
        </w:rPr>
        <w:t>, la Cour doit successivement examiner si l</w:t>
      </w:r>
      <w:r w:rsidR="007772C4" w:rsidRPr="007772C4">
        <w:rPr>
          <w:rFonts w:eastAsia="Times New Roman"/>
          <w:lang w:val="fr-FR"/>
        </w:rPr>
        <w:t>’</w:t>
      </w:r>
      <w:r w:rsidR="00E66170" w:rsidRPr="007772C4">
        <w:rPr>
          <w:rFonts w:eastAsia="Times New Roman"/>
          <w:lang w:val="fr-FR"/>
        </w:rPr>
        <w:t>impossibilité pour la défense d</w:t>
      </w:r>
      <w:r w:rsidR="007772C4" w:rsidRPr="007772C4">
        <w:rPr>
          <w:rFonts w:eastAsia="Times New Roman"/>
          <w:lang w:val="fr-FR"/>
        </w:rPr>
        <w:t>’</w:t>
      </w:r>
      <w:r w:rsidR="00E66170" w:rsidRPr="007772C4">
        <w:rPr>
          <w:rFonts w:eastAsia="Times New Roman"/>
          <w:lang w:val="fr-FR"/>
        </w:rPr>
        <w:t>interroger ou de faire interroger un témoin à charge était justifiée par un motif sérieux ; si les dépositions du témoin absent ont constitué la preuve unique ou déterminante de la culpabilité du requérant ; et, enfin, s</w:t>
      </w:r>
      <w:r w:rsidR="007772C4" w:rsidRPr="007772C4">
        <w:rPr>
          <w:rFonts w:eastAsia="Times New Roman"/>
          <w:lang w:val="fr-FR"/>
        </w:rPr>
        <w:t>’</w:t>
      </w:r>
      <w:r w:rsidR="00E66170" w:rsidRPr="007772C4">
        <w:rPr>
          <w:rFonts w:eastAsia="Times New Roman"/>
          <w:lang w:val="fr-FR"/>
        </w:rPr>
        <w:t>il existait des éléments suffisamment compensateurs des inconvénients liés à l</w:t>
      </w:r>
      <w:r w:rsidR="007772C4" w:rsidRPr="007772C4">
        <w:rPr>
          <w:rFonts w:eastAsia="Times New Roman"/>
          <w:lang w:val="fr-FR"/>
        </w:rPr>
        <w:t>’</w:t>
      </w:r>
      <w:r w:rsidR="00E66170" w:rsidRPr="007772C4">
        <w:rPr>
          <w:rFonts w:eastAsia="Times New Roman"/>
          <w:lang w:val="fr-FR"/>
        </w:rPr>
        <w:t>admission d</w:t>
      </w:r>
      <w:r w:rsidR="007772C4" w:rsidRPr="007772C4">
        <w:rPr>
          <w:rFonts w:eastAsia="Times New Roman"/>
          <w:lang w:val="fr-FR"/>
        </w:rPr>
        <w:t>’</w:t>
      </w:r>
      <w:r w:rsidR="00E66170" w:rsidRPr="007772C4">
        <w:rPr>
          <w:rFonts w:eastAsia="Times New Roman"/>
          <w:lang w:val="fr-FR"/>
        </w:rPr>
        <w:t>une telle preuve pour permettre une appréciation correcte et équitable de sa fiabilité (</w:t>
      </w:r>
      <w:proofErr w:type="spellStart"/>
      <w:r w:rsidR="00E66170" w:rsidRPr="007772C4">
        <w:rPr>
          <w:rFonts w:eastAsia="Times New Roman"/>
          <w:i/>
          <w:lang w:val="fr-FR"/>
        </w:rPr>
        <w:t>Vronchenko</w:t>
      </w:r>
      <w:proofErr w:type="spellEnd"/>
      <w:r w:rsidR="00E66170" w:rsidRPr="007772C4">
        <w:rPr>
          <w:rFonts w:eastAsia="Times New Roman"/>
          <w:i/>
          <w:lang w:val="fr-FR"/>
        </w:rPr>
        <w:t xml:space="preserve"> c. Estonie</w:t>
      </w:r>
      <w:r w:rsidR="00E66170" w:rsidRPr="007772C4">
        <w:rPr>
          <w:rFonts w:eastAsia="Times New Roman"/>
          <w:lang w:val="fr-FR"/>
        </w:rPr>
        <w:t>, n</w:t>
      </w:r>
      <w:r w:rsidR="00615CAA" w:rsidRPr="007772C4">
        <w:rPr>
          <w:rFonts w:eastAsia="Times New Roman"/>
          <w:vertAlign w:val="superscript"/>
          <w:lang w:val="fr-FR"/>
        </w:rPr>
        <w:t>o</w:t>
      </w:r>
      <w:r w:rsidR="000C6322" w:rsidRPr="007772C4">
        <w:rPr>
          <w:rFonts w:eastAsia="Times New Roman"/>
          <w:lang w:val="fr-FR"/>
        </w:rPr>
        <w:t> </w:t>
      </w:r>
      <w:hyperlink r:id="rId18" w:anchor="{&quot;appno&quot;:[&quot;59632/09&quot;]}" w:tgtFrame="_blank" w:history="1">
        <w:r w:rsidR="00E66170" w:rsidRPr="007772C4">
          <w:rPr>
            <w:rFonts w:eastAsia="Times New Roman"/>
            <w:lang w:val="fr-FR"/>
          </w:rPr>
          <w:t>59632/09</w:t>
        </w:r>
      </w:hyperlink>
      <w:r w:rsidR="00E66170" w:rsidRPr="007772C4">
        <w:rPr>
          <w:rFonts w:eastAsia="Times New Roman"/>
          <w:lang w:val="fr-FR"/>
        </w:rPr>
        <w:t>, § 57, 18 juillet 2013).</w:t>
      </w:r>
      <w:proofErr w:type="gramEnd"/>
    </w:p>
    <w:bookmarkStart w:id="14" w:name="par45"/>
    <w:p w:rsidR="00E66170" w:rsidRPr="007772C4" w:rsidRDefault="00CC0416" w:rsidP="007772C4">
      <w:pPr>
        <w:pStyle w:val="ECHRPara"/>
        <w:rPr>
          <w:rFonts w:eastAsia="Times New Roman"/>
          <w:lang w:val="fr-FR"/>
        </w:rPr>
      </w:pPr>
      <w:r w:rsidRPr="007772C4">
        <w:rPr>
          <w:rFonts w:eastAsia="Times New Roman"/>
          <w:lang w:val="fr-FR"/>
        </w:rPr>
        <w:fldChar w:fldCharType="begin"/>
      </w:r>
      <w:r w:rsidRPr="007772C4">
        <w:rPr>
          <w:rFonts w:eastAsia="Times New Roman"/>
          <w:lang w:val="fr-FR"/>
        </w:rPr>
        <w:instrText xml:space="preserve"> SEQ level0 \*arabic </w:instrText>
      </w:r>
      <w:r w:rsidRPr="007772C4">
        <w:rPr>
          <w:rFonts w:eastAsia="Times New Roman"/>
          <w:lang w:val="fr-FR"/>
        </w:rPr>
        <w:fldChar w:fldCharType="separate"/>
      </w:r>
      <w:r w:rsidR="007772C4" w:rsidRPr="007772C4">
        <w:rPr>
          <w:rFonts w:eastAsia="Times New Roman"/>
          <w:noProof/>
          <w:lang w:val="fr-FR"/>
        </w:rPr>
        <w:t>40</w:t>
      </w:r>
      <w:r w:rsidRPr="007772C4">
        <w:rPr>
          <w:rFonts w:eastAsia="Times New Roman"/>
          <w:lang w:val="fr-FR"/>
        </w:rPr>
        <w:fldChar w:fldCharType="end"/>
      </w:r>
      <w:bookmarkEnd w:id="14"/>
      <w:r w:rsidRPr="007772C4">
        <w:rPr>
          <w:rFonts w:eastAsia="Times New Roman"/>
          <w:lang w:val="fr-FR"/>
        </w:rPr>
        <w:t>.  </w:t>
      </w:r>
      <w:proofErr w:type="gramStart"/>
      <w:r w:rsidR="00E66170" w:rsidRPr="007772C4">
        <w:rPr>
          <w:rFonts w:eastAsia="Times New Roman"/>
          <w:lang w:val="fr-FR"/>
        </w:rPr>
        <w:t>Ces principes ont été explicités dans l</w:t>
      </w:r>
      <w:r w:rsidR="007772C4" w:rsidRPr="007772C4">
        <w:rPr>
          <w:rFonts w:eastAsia="Times New Roman"/>
          <w:lang w:val="fr-FR"/>
        </w:rPr>
        <w:t>’</w:t>
      </w:r>
      <w:r w:rsidR="00E66170" w:rsidRPr="007772C4">
        <w:rPr>
          <w:rFonts w:eastAsia="Times New Roman"/>
          <w:lang w:val="fr-FR"/>
        </w:rPr>
        <w:t xml:space="preserve">arrêt </w:t>
      </w:r>
      <w:proofErr w:type="spellStart"/>
      <w:r w:rsidR="00E66170" w:rsidRPr="007772C4">
        <w:rPr>
          <w:rFonts w:eastAsia="Times New Roman"/>
          <w:i/>
          <w:lang w:val="fr-FR"/>
        </w:rPr>
        <w:t>Schatschaschwili</w:t>
      </w:r>
      <w:proofErr w:type="spellEnd"/>
      <w:r w:rsidR="00E66170" w:rsidRPr="007772C4">
        <w:rPr>
          <w:rFonts w:eastAsia="Times New Roman"/>
          <w:i/>
          <w:lang w:val="fr-FR"/>
        </w:rPr>
        <w:t xml:space="preserve"> c.</w:t>
      </w:r>
      <w:r w:rsidR="000C6322" w:rsidRPr="007772C4">
        <w:rPr>
          <w:rFonts w:eastAsia="Times New Roman"/>
          <w:i/>
          <w:lang w:val="fr-FR"/>
        </w:rPr>
        <w:t> </w:t>
      </w:r>
      <w:r w:rsidR="00E66170" w:rsidRPr="007772C4">
        <w:rPr>
          <w:rFonts w:eastAsia="Times New Roman"/>
          <w:i/>
          <w:lang w:val="fr-FR"/>
        </w:rPr>
        <w:t>Allemagne</w:t>
      </w:r>
      <w:r w:rsidR="00E66170" w:rsidRPr="007772C4">
        <w:rPr>
          <w:rFonts w:eastAsia="Times New Roman"/>
          <w:lang w:val="fr-FR"/>
        </w:rPr>
        <w:t xml:space="preserve"> (n</w:t>
      </w:r>
      <w:r w:rsidR="00615CAA" w:rsidRPr="007772C4">
        <w:rPr>
          <w:rFonts w:eastAsia="Times New Roman"/>
          <w:vertAlign w:val="superscript"/>
          <w:lang w:val="fr-FR"/>
        </w:rPr>
        <w:t>o</w:t>
      </w:r>
      <w:r w:rsidR="00E66170" w:rsidRPr="007772C4">
        <w:rPr>
          <w:rFonts w:eastAsia="Times New Roman"/>
          <w:lang w:val="fr-FR"/>
        </w:rPr>
        <w:t xml:space="preserve"> </w:t>
      </w:r>
      <w:hyperlink r:id="rId19" w:anchor="{&quot;appno&quot;:[&quot;9154/10&quot;]}" w:tgtFrame="_blank" w:history="1">
        <w:r w:rsidR="00E66170" w:rsidRPr="007772C4">
          <w:rPr>
            <w:rFonts w:eastAsia="Times New Roman"/>
            <w:lang w:val="fr-FR"/>
          </w:rPr>
          <w:t>9154/10</w:t>
        </w:r>
      </w:hyperlink>
      <w:r w:rsidR="00E66170" w:rsidRPr="007772C4">
        <w:rPr>
          <w:rFonts w:eastAsia="Times New Roman"/>
          <w:lang w:val="fr-FR"/>
        </w:rPr>
        <w:t>, §</w:t>
      </w:r>
      <w:r w:rsidR="00E73B6C" w:rsidRPr="007772C4">
        <w:rPr>
          <w:rFonts w:eastAsia="Times New Roman"/>
          <w:lang w:val="fr-FR"/>
        </w:rPr>
        <w:t>§</w:t>
      </w:r>
      <w:r w:rsidR="00E66170" w:rsidRPr="007772C4">
        <w:rPr>
          <w:rFonts w:eastAsia="Times New Roman"/>
          <w:lang w:val="fr-FR"/>
        </w:rPr>
        <w:t xml:space="preserve"> 111-131, CEDH 2015), </w:t>
      </w:r>
      <w:r w:rsidR="000C6322" w:rsidRPr="007772C4">
        <w:rPr>
          <w:rFonts w:eastAsia="Times New Roman"/>
          <w:lang w:val="fr-FR"/>
        </w:rPr>
        <w:t xml:space="preserve">dans lequel </w:t>
      </w:r>
      <w:r w:rsidR="00E66170" w:rsidRPr="007772C4">
        <w:rPr>
          <w:rFonts w:eastAsia="Times New Roman"/>
          <w:lang w:val="fr-FR"/>
        </w:rPr>
        <w:t>la Grande Chambre a confirmé que l</w:t>
      </w:r>
      <w:r w:rsidR="007772C4" w:rsidRPr="007772C4">
        <w:rPr>
          <w:rFonts w:eastAsia="Times New Roman"/>
          <w:lang w:val="fr-FR"/>
        </w:rPr>
        <w:t>’</w:t>
      </w:r>
      <w:r w:rsidR="00E66170" w:rsidRPr="007772C4">
        <w:rPr>
          <w:rFonts w:eastAsia="Times New Roman"/>
          <w:lang w:val="fr-FR"/>
        </w:rPr>
        <w:t>absence de motif sérieux justifiant la non</w:t>
      </w:r>
      <w:r w:rsidR="00C36339" w:rsidRPr="007772C4">
        <w:rPr>
          <w:rFonts w:eastAsia="Times New Roman"/>
          <w:lang w:val="fr-FR"/>
        </w:rPr>
        <w:t>-</w:t>
      </w:r>
      <w:r w:rsidR="00E66170" w:rsidRPr="007772C4">
        <w:rPr>
          <w:rFonts w:eastAsia="Times New Roman"/>
          <w:lang w:val="fr-FR"/>
        </w:rPr>
        <w:t>comparution d</w:t>
      </w:r>
      <w:r w:rsidR="007772C4" w:rsidRPr="007772C4">
        <w:rPr>
          <w:rFonts w:eastAsia="Times New Roman"/>
          <w:lang w:val="fr-FR"/>
        </w:rPr>
        <w:t>’</w:t>
      </w:r>
      <w:r w:rsidR="00E66170" w:rsidRPr="007772C4">
        <w:rPr>
          <w:rFonts w:eastAsia="Times New Roman"/>
          <w:lang w:val="fr-FR"/>
        </w:rPr>
        <w:t xml:space="preserve">un témoin ne </w:t>
      </w:r>
      <w:r w:rsidR="000C6322" w:rsidRPr="007772C4">
        <w:rPr>
          <w:rFonts w:eastAsia="Times New Roman"/>
          <w:lang w:val="fr-FR"/>
        </w:rPr>
        <w:t>pouvait,</w:t>
      </w:r>
      <w:r w:rsidR="00E66170" w:rsidRPr="007772C4">
        <w:rPr>
          <w:rFonts w:eastAsia="Times New Roman"/>
          <w:lang w:val="fr-FR"/>
        </w:rPr>
        <w:t xml:space="preserve"> en elle-même</w:t>
      </w:r>
      <w:r w:rsidR="000C6322" w:rsidRPr="007772C4">
        <w:rPr>
          <w:rFonts w:eastAsia="Times New Roman"/>
          <w:lang w:val="fr-FR"/>
        </w:rPr>
        <w:t>,</w:t>
      </w:r>
      <w:r w:rsidR="00E66170" w:rsidRPr="007772C4">
        <w:rPr>
          <w:rFonts w:eastAsia="Times New Roman"/>
          <w:lang w:val="fr-FR"/>
        </w:rPr>
        <w:t xml:space="preserve"> rendre un procès inéquitable</w:t>
      </w:r>
      <w:r w:rsidR="000C6322" w:rsidRPr="007772C4">
        <w:rPr>
          <w:rFonts w:eastAsia="Times New Roman"/>
          <w:lang w:val="fr-FR"/>
        </w:rPr>
        <w:t xml:space="preserve">, que, cela étant, le manque </w:t>
      </w:r>
      <w:r w:rsidR="000C6322" w:rsidRPr="007772C4">
        <w:rPr>
          <w:rFonts w:eastAsia="Times New Roman"/>
          <w:bCs/>
          <w:lang w:val="fr-FR"/>
        </w:rPr>
        <w:t>de</w:t>
      </w:r>
      <w:r w:rsidR="000C6322" w:rsidRPr="007772C4">
        <w:rPr>
          <w:rFonts w:eastAsia="Times New Roman"/>
          <w:lang w:val="fr-FR"/>
        </w:rPr>
        <w:t xml:space="preserve"> </w:t>
      </w:r>
      <w:r w:rsidR="000C6322" w:rsidRPr="007772C4">
        <w:rPr>
          <w:rFonts w:eastAsia="Times New Roman"/>
          <w:bCs/>
          <w:lang w:val="fr-FR"/>
        </w:rPr>
        <w:t>motif</w:t>
      </w:r>
      <w:r w:rsidR="000C6322" w:rsidRPr="007772C4">
        <w:rPr>
          <w:rFonts w:eastAsia="Times New Roman"/>
          <w:lang w:val="fr-FR"/>
        </w:rPr>
        <w:t xml:space="preserve"> </w:t>
      </w:r>
      <w:r w:rsidR="000C6322" w:rsidRPr="007772C4">
        <w:rPr>
          <w:rFonts w:eastAsia="Times New Roman"/>
          <w:bCs/>
          <w:lang w:val="fr-FR"/>
        </w:rPr>
        <w:t>sérieux</w:t>
      </w:r>
      <w:r w:rsidR="000C6322" w:rsidRPr="007772C4">
        <w:rPr>
          <w:rFonts w:eastAsia="Times New Roman"/>
          <w:lang w:val="fr-FR"/>
        </w:rPr>
        <w:t xml:space="preserve"> </w:t>
      </w:r>
      <w:r w:rsidR="000C6322" w:rsidRPr="007772C4">
        <w:rPr>
          <w:rFonts w:eastAsia="Times New Roman"/>
          <w:bCs/>
          <w:lang w:val="fr-FR"/>
        </w:rPr>
        <w:t>justifiant</w:t>
      </w:r>
      <w:r w:rsidR="000C6322" w:rsidRPr="007772C4">
        <w:rPr>
          <w:rFonts w:eastAsia="Times New Roman"/>
          <w:lang w:val="fr-FR"/>
        </w:rPr>
        <w:t xml:space="preserve"> </w:t>
      </w:r>
      <w:r w:rsidR="000C6322" w:rsidRPr="007772C4">
        <w:rPr>
          <w:rFonts w:eastAsia="Times New Roman"/>
          <w:bCs/>
          <w:lang w:val="fr-FR"/>
        </w:rPr>
        <w:t>l</w:t>
      </w:r>
      <w:r w:rsidR="007772C4" w:rsidRPr="007772C4">
        <w:rPr>
          <w:rFonts w:eastAsia="Times New Roman"/>
          <w:lang w:val="fr-FR"/>
        </w:rPr>
        <w:t>’</w:t>
      </w:r>
      <w:r w:rsidR="000C6322" w:rsidRPr="007772C4">
        <w:rPr>
          <w:rFonts w:eastAsia="Times New Roman"/>
          <w:bCs/>
          <w:lang w:val="fr-FR"/>
        </w:rPr>
        <w:t>absence</w:t>
      </w:r>
      <w:r w:rsidR="000C6322" w:rsidRPr="007772C4">
        <w:rPr>
          <w:rFonts w:eastAsia="Times New Roman"/>
          <w:lang w:val="fr-FR"/>
        </w:rPr>
        <w:t xml:space="preserve"> </w:t>
      </w:r>
      <w:r w:rsidR="000C6322" w:rsidRPr="007772C4">
        <w:rPr>
          <w:rFonts w:eastAsia="Times New Roman"/>
          <w:bCs/>
          <w:lang w:val="fr-FR"/>
        </w:rPr>
        <w:t>d</w:t>
      </w:r>
      <w:r w:rsidR="007772C4" w:rsidRPr="007772C4">
        <w:rPr>
          <w:rFonts w:eastAsia="Times New Roman"/>
          <w:lang w:val="fr-FR"/>
        </w:rPr>
        <w:t>’</w:t>
      </w:r>
      <w:r w:rsidR="000C6322" w:rsidRPr="007772C4">
        <w:rPr>
          <w:rFonts w:eastAsia="Times New Roman"/>
          <w:bCs/>
          <w:lang w:val="fr-FR"/>
        </w:rPr>
        <w:t>un</w:t>
      </w:r>
      <w:r w:rsidR="000C6322" w:rsidRPr="007772C4">
        <w:rPr>
          <w:rFonts w:eastAsia="Times New Roman"/>
          <w:lang w:val="fr-FR"/>
        </w:rPr>
        <w:t xml:space="preserve"> </w:t>
      </w:r>
      <w:r w:rsidR="000C6322" w:rsidRPr="007772C4">
        <w:rPr>
          <w:rFonts w:eastAsia="Times New Roman"/>
          <w:bCs/>
          <w:lang w:val="fr-FR"/>
        </w:rPr>
        <w:t>témoin</w:t>
      </w:r>
      <w:r w:rsidR="000C6322" w:rsidRPr="007772C4">
        <w:rPr>
          <w:rFonts w:eastAsia="Times New Roman"/>
          <w:lang w:val="fr-FR"/>
        </w:rPr>
        <w:t xml:space="preserve"> à charge constituait </w:t>
      </w:r>
      <w:r w:rsidR="000C6322" w:rsidRPr="007772C4">
        <w:rPr>
          <w:rFonts w:eastAsia="Times New Roman"/>
          <w:bCs/>
          <w:lang w:val="fr-FR"/>
        </w:rPr>
        <w:t>un</w:t>
      </w:r>
      <w:r w:rsidR="000C6322" w:rsidRPr="007772C4">
        <w:rPr>
          <w:rFonts w:eastAsia="Times New Roman"/>
          <w:lang w:val="fr-FR"/>
        </w:rPr>
        <w:t xml:space="preserve"> élément </w:t>
      </w:r>
      <w:r w:rsidR="000C6322" w:rsidRPr="007772C4">
        <w:rPr>
          <w:rFonts w:eastAsia="Times New Roman"/>
          <w:bCs/>
          <w:lang w:val="fr-FR"/>
        </w:rPr>
        <w:t>de</w:t>
      </w:r>
      <w:r w:rsidR="000C6322" w:rsidRPr="007772C4">
        <w:rPr>
          <w:rFonts w:eastAsia="Times New Roman"/>
          <w:lang w:val="fr-FR"/>
        </w:rPr>
        <w:t xml:space="preserve"> poids s</w:t>
      </w:r>
      <w:r w:rsidR="007772C4" w:rsidRPr="007772C4">
        <w:rPr>
          <w:rFonts w:eastAsia="Times New Roman"/>
          <w:lang w:val="fr-FR"/>
        </w:rPr>
        <w:t>’</w:t>
      </w:r>
      <w:r w:rsidR="000C6322" w:rsidRPr="007772C4">
        <w:rPr>
          <w:rFonts w:eastAsia="Times New Roman"/>
          <w:lang w:val="fr-FR"/>
        </w:rPr>
        <w:t xml:space="preserve">agissant </w:t>
      </w:r>
      <w:r w:rsidR="000C6322" w:rsidRPr="007772C4">
        <w:rPr>
          <w:rFonts w:eastAsia="Times New Roman"/>
          <w:bCs/>
          <w:lang w:val="fr-FR"/>
        </w:rPr>
        <w:t>d</w:t>
      </w:r>
      <w:r w:rsidR="007772C4" w:rsidRPr="007772C4">
        <w:rPr>
          <w:rFonts w:eastAsia="Times New Roman"/>
          <w:lang w:val="fr-FR"/>
        </w:rPr>
        <w:t>’</w:t>
      </w:r>
      <w:r w:rsidR="000C6322" w:rsidRPr="007772C4">
        <w:rPr>
          <w:rFonts w:eastAsia="Times New Roman"/>
          <w:lang w:val="fr-FR"/>
        </w:rPr>
        <w:t xml:space="preserve">apprécier </w:t>
      </w:r>
      <w:r w:rsidR="000C6322" w:rsidRPr="007772C4">
        <w:rPr>
          <w:rFonts w:eastAsia="Times New Roman"/>
          <w:bCs/>
          <w:lang w:val="fr-FR"/>
        </w:rPr>
        <w:t>l</w:t>
      </w:r>
      <w:r w:rsidR="007772C4" w:rsidRPr="007772C4">
        <w:rPr>
          <w:rFonts w:eastAsia="Times New Roman"/>
          <w:lang w:val="fr-FR"/>
        </w:rPr>
        <w:t>’</w:t>
      </w:r>
      <w:r w:rsidR="000C6322" w:rsidRPr="007772C4">
        <w:rPr>
          <w:rFonts w:eastAsia="Times New Roman"/>
          <w:lang w:val="fr-FR"/>
        </w:rPr>
        <w:t xml:space="preserve">équité globale </w:t>
      </w:r>
      <w:r w:rsidR="000C6322" w:rsidRPr="007772C4">
        <w:rPr>
          <w:rFonts w:eastAsia="Times New Roman"/>
          <w:bCs/>
          <w:lang w:val="fr-FR"/>
        </w:rPr>
        <w:t>d</w:t>
      </w:r>
      <w:r w:rsidR="007772C4" w:rsidRPr="007772C4">
        <w:rPr>
          <w:rFonts w:eastAsia="Times New Roman"/>
          <w:lang w:val="fr-FR"/>
        </w:rPr>
        <w:t>’</w:t>
      </w:r>
      <w:r w:rsidR="000C6322" w:rsidRPr="007772C4">
        <w:rPr>
          <w:rFonts w:eastAsia="Times New Roman"/>
          <w:bCs/>
          <w:lang w:val="fr-FR"/>
        </w:rPr>
        <w:t>un</w:t>
      </w:r>
      <w:r w:rsidR="000C6322" w:rsidRPr="007772C4">
        <w:rPr>
          <w:rFonts w:eastAsia="Times New Roman"/>
          <w:lang w:val="fr-FR"/>
        </w:rPr>
        <w:t xml:space="preserve"> procès, et que pareil élément était susceptible </w:t>
      </w:r>
      <w:r w:rsidR="000C6322" w:rsidRPr="007772C4">
        <w:rPr>
          <w:rFonts w:eastAsia="Times New Roman"/>
          <w:bCs/>
          <w:lang w:val="fr-FR"/>
        </w:rPr>
        <w:t>de</w:t>
      </w:r>
      <w:r w:rsidR="000C6322" w:rsidRPr="007772C4">
        <w:rPr>
          <w:rFonts w:eastAsia="Times New Roman"/>
          <w:lang w:val="fr-FR"/>
        </w:rPr>
        <w:t xml:space="preserve"> faire pencher </w:t>
      </w:r>
      <w:r w:rsidR="000C6322" w:rsidRPr="007772C4">
        <w:rPr>
          <w:rFonts w:eastAsia="Times New Roman"/>
          <w:bCs/>
          <w:lang w:val="fr-FR"/>
        </w:rPr>
        <w:t>la</w:t>
      </w:r>
      <w:r w:rsidR="000C6322" w:rsidRPr="007772C4">
        <w:rPr>
          <w:rFonts w:eastAsia="Times New Roman"/>
          <w:lang w:val="fr-FR"/>
        </w:rPr>
        <w:t xml:space="preserve"> balance en faveur </w:t>
      </w:r>
      <w:r w:rsidR="000C6322" w:rsidRPr="007772C4">
        <w:rPr>
          <w:rFonts w:eastAsia="Times New Roman"/>
          <w:bCs/>
          <w:lang w:val="fr-FR"/>
        </w:rPr>
        <w:t>d</w:t>
      </w:r>
      <w:r w:rsidR="007772C4" w:rsidRPr="007772C4">
        <w:rPr>
          <w:rFonts w:eastAsia="Times New Roman"/>
          <w:lang w:val="fr-FR"/>
        </w:rPr>
        <w:t>’</w:t>
      </w:r>
      <w:r w:rsidR="000C6322" w:rsidRPr="007772C4">
        <w:rPr>
          <w:rFonts w:eastAsia="Times New Roman"/>
          <w:bCs/>
          <w:lang w:val="fr-FR"/>
        </w:rPr>
        <w:t>un</w:t>
      </w:r>
      <w:r w:rsidR="000C6322" w:rsidRPr="007772C4">
        <w:rPr>
          <w:rFonts w:eastAsia="Times New Roman"/>
          <w:lang w:val="fr-FR"/>
        </w:rPr>
        <w:t xml:space="preserve"> constat </w:t>
      </w:r>
      <w:r w:rsidR="000C6322" w:rsidRPr="007772C4">
        <w:rPr>
          <w:rFonts w:eastAsia="Times New Roman"/>
          <w:bCs/>
          <w:lang w:val="fr-FR"/>
        </w:rPr>
        <w:t>de</w:t>
      </w:r>
      <w:r w:rsidR="000C6322" w:rsidRPr="007772C4">
        <w:rPr>
          <w:rFonts w:eastAsia="Times New Roman"/>
          <w:lang w:val="fr-FR"/>
        </w:rPr>
        <w:t xml:space="preserve"> violation </w:t>
      </w:r>
      <w:r w:rsidR="000C6322" w:rsidRPr="007772C4">
        <w:rPr>
          <w:rFonts w:eastAsia="Times New Roman"/>
          <w:bCs/>
          <w:lang w:val="fr-FR"/>
        </w:rPr>
        <w:t>de</w:t>
      </w:r>
      <w:r w:rsidR="000C6322" w:rsidRPr="007772C4">
        <w:rPr>
          <w:rFonts w:eastAsia="Times New Roman"/>
          <w:lang w:val="fr-FR"/>
        </w:rPr>
        <w:t xml:space="preserve"> </w:t>
      </w:r>
      <w:r w:rsidR="000C6322" w:rsidRPr="007772C4">
        <w:rPr>
          <w:rFonts w:eastAsia="Times New Roman"/>
          <w:bCs/>
          <w:lang w:val="fr-FR"/>
        </w:rPr>
        <w:t>l</w:t>
      </w:r>
      <w:r w:rsidR="007772C4" w:rsidRPr="007772C4">
        <w:rPr>
          <w:rFonts w:eastAsia="Times New Roman"/>
          <w:lang w:val="fr-FR"/>
        </w:rPr>
        <w:t>’article 6 §§ 1 et 3 </w:t>
      </w:r>
      <w:r w:rsidR="000C6322" w:rsidRPr="007772C4">
        <w:rPr>
          <w:rFonts w:eastAsia="Times New Roman"/>
          <w:bCs/>
          <w:lang w:val="fr-FR"/>
        </w:rPr>
        <w:t>d</w:t>
      </w:r>
      <w:r w:rsidR="000C6322" w:rsidRPr="007772C4">
        <w:rPr>
          <w:rFonts w:eastAsia="Times New Roman"/>
          <w:lang w:val="fr-FR"/>
        </w:rPr>
        <w:t>).</w:t>
      </w:r>
      <w:proofErr w:type="gramEnd"/>
      <w:r w:rsidR="000C6322" w:rsidRPr="007772C4" w:rsidDel="000C6322">
        <w:rPr>
          <w:rFonts w:eastAsia="Times New Roman"/>
          <w:lang w:val="fr-FR"/>
        </w:rPr>
        <w:t xml:space="preserve"> </w:t>
      </w:r>
      <w:proofErr w:type="gramStart"/>
      <w:r w:rsidR="00E66170" w:rsidRPr="007772C4">
        <w:rPr>
          <w:rFonts w:eastAsia="Times New Roman"/>
          <w:lang w:val="fr-FR"/>
        </w:rPr>
        <w:t>De plus, le souci de la Cour étant de s</w:t>
      </w:r>
      <w:r w:rsidR="007772C4" w:rsidRPr="007772C4">
        <w:rPr>
          <w:rFonts w:eastAsia="Times New Roman"/>
          <w:lang w:val="fr-FR"/>
        </w:rPr>
        <w:t>’</w:t>
      </w:r>
      <w:r w:rsidR="00E66170" w:rsidRPr="007772C4">
        <w:rPr>
          <w:rFonts w:eastAsia="Times New Roman"/>
          <w:lang w:val="fr-FR"/>
        </w:rPr>
        <w:t xml:space="preserve">assurer que la procédure dans son ensemble </w:t>
      </w:r>
      <w:r w:rsidR="00CA64A5" w:rsidRPr="007772C4">
        <w:rPr>
          <w:rFonts w:eastAsia="Times New Roman"/>
          <w:lang w:val="fr-FR"/>
        </w:rPr>
        <w:t xml:space="preserve">a été </w:t>
      </w:r>
      <w:r w:rsidR="00E66170" w:rsidRPr="007772C4">
        <w:rPr>
          <w:rFonts w:eastAsia="Times New Roman"/>
          <w:lang w:val="fr-FR"/>
        </w:rPr>
        <w:t>équitable, elle doit vérifier s</w:t>
      </w:r>
      <w:r w:rsidR="007772C4" w:rsidRPr="007772C4">
        <w:rPr>
          <w:rFonts w:eastAsia="Times New Roman"/>
          <w:lang w:val="fr-FR"/>
        </w:rPr>
        <w:t>’</w:t>
      </w:r>
      <w:r w:rsidR="00E66170" w:rsidRPr="007772C4">
        <w:rPr>
          <w:rFonts w:eastAsia="Times New Roman"/>
          <w:lang w:val="fr-FR"/>
        </w:rPr>
        <w:t>il existait des éléments compensateurs suffisants</w:t>
      </w:r>
      <w:r w:rsidR="005C7817" w:rsidRPr="007772C4">
        <w:rPr>
          <w:rFonts w:eastAsia="Times New Roman"/>
          <w:lang w:val="fr-FR"/>
        </w:rPr>
        <w:t xml:space="preserve">, </w:t>
      </w:r>
      <w:r w:rsidR="00E66170" w:rsidRPr="007772C4">
        <w:rPr>
          <w:rFonts w:eastAsia="Times New Roman"/>
          <w:lang w:val="fr-FR"/>
        </w:rPr>
        <w:t>non seulement dans les affaires où les déclarations d</w:t>
      </w:r>
      <w:r w:rsidR="007772C4" w:rsidRPr="007772C4">
        <w:rPr>
          <w:rFonts w:eastAsia="Times New Roman"/>
          <w:lang w:val="fr-FR"/>
        </w:rPr>
        <w:t>’</w:t>
      </w:r>
      <w:r w:rsidR="00E66170" w:rsidRPr="007772C4">
        <w:rPr>
          <w:rFonts w:eastAsia="Times New Roman"/>
          <w:lang w:val="fr-FR"/>
        </w:rPr>
        <w:t>un témoin absent constituaient le fondement unique ou déterminant de la condamnation de l</w:t>
      </w:r>
      <w:r w:rsidR="007772C4" w:rsidRPr="007772C4">
        <w:rPr>
          <w:rFonts w:eastAsia="Times New Roman"/>
          <w:lang w:val="fr-FR"/>
        </w:rPr>
        <w:t>’</w:t>
      </w:r>
      <w:r w:rsidR="00E66170" w:rsidRPr="007772C4">
        <w:rPr>
          <w:rFonts w:eastAsia="Times New Roman"/>
          <w:lang w:val="fr-FR"/>
        </w:rPr>
        <w:t>accusé, mais aussi dans celles où elle juge difficile de discerner si ces éléments constituaient la preuve unique ou déterminante mais est néanmoins convaincue qu</w:t>
      </w:r>
      <w:r w:rsidR="007772C4" w:rsidRPr="007772C4">
        <w:rPr>
          <w:rFonts w:eastAsia="Times New Roman"/>
          <w:lang w:val="fr-FR"/>
        </w:rPr>
        <w:t>’</w:t>
      </w:r>
      <w:r w:rsidR="00E66170" w:rsidRPr="007772C4">
        <w:rPr>
          <w:rFonts w:eastAsia="Times New Roman"/>
          <w:lang w:val="fr-FR"/>
        </w:rPr>
        <w:t>ils revêtaient un poids certain et que leur admission pouvait avoir causé des difficultés à la défense.</w:t>
      </w:r>
      <w:proofErr w:type="gramEnd"/>
      <w:r w:rsidR="00E66170" w:rsidRPr="007772C4">
        <w:rPr>
          <w:rFonts w:eastAsia="Times New Roman"/>
          <w:lang w:val="fr-FR"/>
        </w:rPr>
        <w:t xml:space="preserve"> La portée des facteurs compensateurs nécessaires pour que le procès soit considéré comme équitable dépend de l</w:t>
      </w:r>
      <w:r w:rsidR="007772C4" w:rsidRPr="007772C4">
        <w:rPr>
          <w:rFonts w:eastAsia="Times New Roman"/>
          <w:lang w:val="fr-FR"/>
        </w:rPr>
        <w:t>’</w:t>
      </w:r>
      <w:r w:rsidR="00E66170" w:rsidRPr="007772C4">
        <w:rPr>
          <w:rFonts w:eastAsia="Times New Roman"/>
          <w:lang w:val="fr-FR"/>
        </w:rPr>
        <w:t>importance que revêtent les déclarations du témoin absent. Plus cette importance est grande, plus les éléments compensateurs devront être solides afin que la procédure dans son ensemble soit considérée comme équitable.</w:t>
      </w:r>
    </w:p>
    <w:p w:rsidR="00F518D2" w:rsidRPr="007772C4" w:rsidRDefault="007B6813" w:rsidP="007772C4">
      <w:pPr>
        <w:pStyle w:val="ECHRHeading4"/>
        <w:rPr>
          <w:rFonts w:eastAsia="Times New Roman"/>
          <w:lang w:val="fr-FR"/>
        </w:rPr>
      </w:pPr>
      <w:r w:rsidRPr="007772C4">
        <w:rPr>
          <w:rFonts w:eastAsia="Times New Roman"/>
          <w:lang w:val="fr-FR"/>
        </w:rPr>
        <w:t>b)  </w:t>
      </w:r>
      <w:r w:rsidR="00F518D2" w:rsidRPr="007772C4">
        <w:rPr>
          <w:rFonts w:eastAsia="Times New Roman"/>
          <w:lang w:val="fr-FR"/>
        </w:rPr>
        <w:t>Application de</w:t>
      </w:r>
      <w:r w:rsidR="00E73B6C" w:rsidRPr="007772C4">
        <w:rPr>
          <w:rFonts w:eastAsia="Times New Roman"/>
          <w:lang w:val="fr-FR"/>
        </w:rPr>
        <w:t xml:space="preserve"> ce</w:t>
      </w:r>
      <w:r w:rsidR="00F518D2" w:rsidRPr="007772C4">
        <w:rPr>
          <w:rFonts w:eastAsia="Times New Roman"/>
          <w:lang w:val="fr-FR"/>
        </w:rPr>
        <w:t>s principes en l</w:t>
      </w:r>
      <w:r w:rsidR="007772C4" w:rsidRPr="007772C4">
        <w:rPr>
          <w:rFonts w:eastAsia="Times New Roman"/>
          <w:lang w:val="fr-FR"/>
        </w:rPr>
        <w:t>’</w:t>
      </w:r>
      <w:r w:rsidR="00F518D2" w:rsidRPr="007772C4">
        <w:rPr>
          <w:rFonts w:eastAsia="Times New Roman"/>
          <w:lang w:val="fr-FR"/>
        </w:rPr>
        <w:t>espèce</w:t>
      </w:r>
    </w:p>
    <w:p w:rsidR="00E66170" w:rsidRPr="007772C4" w:rsidRDefault="007B6813" w:rsidP="007772C4">
      <w:pPr>
        <w:pStyle w:val="ECHRHeading5"/>
        <w:rPr>
          <w:rFonts w:ascii="Times New Roman" w:eastAsia="Times New Roman" w:hAnsi="Times New Roman" w:cs="Times New Roman"/>
          <w:szCs w:val="24"/>
          <w:lang w:val="fr-FR"/>
        </w:rPr>
      </w:pPr>
      <w:r w:rsidRPr="007772C4">
        <w:rPr>
          <w:lang w:val="fr-FR"/>
        </w:rPr>
        <w:t>i.</w:t>
      </w:r>
      <w:proofErr w:type="gramStart"/>
      <w:r w:rsidRPr="007772C4">
        <w:rPr>
          <w:lang w:val="fr-FR"/>
        </w:rPr>
        <w:t>  </w:t>
      </w:r>
      <w:r w:rsidR="00E66170" w:rsidRPr="007772C4">
        <w:rPr>
          <w:lang w:val="fr-FR"/>
        </w:rPr>
        <w:t>Sur</w:t>
      </w:r>
      <w:proofErr w:type="gramEnd"/>
      <w:r w:rsidR="00E66170" w:rsidRPr="007772C4">
        <w:rPr>
          <w:lang w:val="fr-FR"/>
        </w:rPr>
        <w:t xml:space="preserve"> le point de savoir si l</w:t>
      </w:r>
      <w:r w:rsidR="007772C4" w:rsidRPr="007772C4">
        <w:rPr>
          <w:lang w:val="fr-FR"/>
        </w:rPr>
        <w:t>’</w:t>
      </w:r>
      <w:r w:rsidR="00E66170" w:rsidRPr="007772C4">
        <w:rPr>
          <w:lang w:val="fr-FR"/>
        </w:rPr>
        <w:t xml:space="preserve">absence de </w:t>
      </w:r>
      <w:r w:rsidR="005C7817" w:rsidRPr="007772C4">
        <w:rPr>
          <w:lang w:val="fr-FR"/>
        </w:rPr>
        <w:t xml:space="preserve">C.C. </w:t>
      </w:r>
      <w:r w:rsidR="00E66170" w:rsidRPr="007772C4">
        <w:rPr>
          <w:lang w:val="fr-FR"/>
        </w:rPr>
        <w:t>au procès se justifiait par un motif sérieux</w:t>
      </w:r>
    </w:p>
    <w:p w:rsidR="00E66170" w:rsidRPr="007772C4" w:rsidRDefault="00440CB7" w:rsidP="007772C4">
      <w:pPr>
        <w:pStyle w:val="ECHRPara"/>
        <w:rPr>
          <w:rFonts w:eastAsia="Times New Roman"/>
          <w:lang w:val="fr-FR"/>
        </w:rPr>
      </w:pPr>
      <w:r w:rsidRPr="007772C4">
        <w:rPr>
          <w:rFonts w:eastAsia="Times New Roman"/>
          <w:lang w:val="fr-FR"/>
        </w:rPr>
        <w:fldChar w:fldCharType="begin"/>
      </w:r>
      <w:r w:rsidRPr="007772C4">
        <w:rPr>
          <w:rFonts w:eastAsia="Times New Roman"/>
          <w:lang w:val="fr-FR"/>
        </w:rPr>
        <w:instrText xml:space="preserve"> SEQ level0 \*arabic </w:instrText>
      </w:r>
      <w:r w:rsidRPr="007772C4">
        <w:rPr>
          <w:rFonts w:eastAsia="Times New Roman"/>
          <w:lang w:val="fr-FR"/>
        </w:rPr>
        <w:fldChar w:fldCharType="separate"/>
      </w:r>
      <w:r w:rsidR="007772C4" w:rsidRPr="007772C4">
        <w:rPr>
          <w:rFonts w:eastAsia="Times New Roman"/>
          <w:noProof/>
          <w:lang w:val="fr-FR"/>
        </w:rPr>
        <w:t>41</w:t>
      </w:r>
      <w:r w:rsidRPr="007772C4">
        <w:rPr>
          <w:rFonts w:eastAsia="Times New Roman"/>
          <w:lang w:val="fr-FR"/>
        </w:rPr>
        <w:fldChar w:fldCharType="end"/>
      </w:r>
      <w:r w:rsidRPr="007772C4">
        <w:rPr>
          <w:rFonts w:eastAsia="Times New Roman"/>
          <w:lang w:val="fr-FR"/>
        </w:rPr>
        <w:t>.  </w:t>
      </w:r>
      <w:r w:rsidR="00E66170" w:rsidRPr="007772C4">
        <w:rPr>
          <w:rFonts w:eastAsia="Times New Roman"/>
          <w:lang w:val="fr-FR"/>
        </w:rPr>
        <w:t>La Cour observe qu</w:t>
      </w:r>
      <w:r w:rsidR="008873C5" w:rsidRPr="007772C4">
        <w:rPr>
          <w:rFonts w:eastAsia="Times New Roman"/>
          <w:lang w:val="fr-FR"/>
        </w:rPr>
        <w:t xml:space="preserve">e, </w:t>
      </w:r>
      <w:r w:rsidR="00E66170" w:rsidRPr="007772C4">
        <w:rPr>
          <w:rFonts w:eastAsia="Times New Roman"/>
          <w:lang w:val="fr-FR"/>
        </w:rPr>
        <w:t>en l</w:t>
      </w:r>
      <w:r w:rsidR="007772C4" w:rsidRPr="007772C4">
        <w:rPr>
          <w:rFonts w:eastAsia="Times New Roman"/>
          <w:lang w:val="fr-FR"/>
        </w:rPr>
        <w:t>’</w:t>
      </w:r>
      <w:r w:rsidR="00E66170" w:rsidRPr="007772C4">
        <w:rPr>
          <w:rFonts w:eastAsia="Times New Roman"/>
          <w:lang w:val="fr-FR"/>
        </w:rPr>
        <w:t>espèce</w:t>
      </w:r>
      <w:r w:rsidR="008873C5" w:rsidRPr="007772C4">
        <w:rPr>
          <w:rFonts w:eastAsia="Times New Roman"/>
          <w:lang w:val="fr-FR"/>
        </w:rPr>
        <w:t>,</w:t>
      </w:r>
      <w:r w:rsidR="00E66170" w:rsidRPr="007772C4">
        <w:rPr>
          <w:rFonts w:eastAsia="Times New Roman"/>
          <w:lang w:val="fr-FR"/>
        </w:rPr>
        <w:t xml:space="preserve"> la non-comparution de </w:t>
      </w:r>
      <w:r w:rsidR="004617B8" w:rsidRPr="007772C4">
        <w:rPr>
          <w:rFonts w:eastAsia="Times New Roman"/>
          <w:lang w:val="fr-FR"/>
        </w:rPr>
        <w:t>C.C.</w:t>
      </w:r>
      <w:r w:rsidR="00E66170" w:rsidRPr="007772C4">
        <w:rPr>
          <w:rFonts w:eastAsia="Times New Roman"/>
          <w:lang w:val="fr-FR"/>
        </w:rPr>
        <w:t xml:space="preserve">, </w:t>
      </w:r>
      <w:r w:rsidR="008873C5" w:rsidRPr="007772C4">
        <w:rPr>
          <w:rFonts w:eastAsia="Times New Roman"/>
          <w:lang w:val="fr-FR"/>
        </w:rPr>
        <w:t>qui</w:t>
      </w:r>
      <w:r w:rsidR="00E66170" w:rsidRPr="007772C4">
        <w:rPr>
          <w:rFonts w:eastAsia="Times New Roman"/>
          <w:lang w:val="fr-FR"/>
        </w:rPr>
        <w:t xml:space="preserve"> </w:t>
      </w:r>
      <w:r w:rsidR="008873C5" w:rsidRPr="007772C4">
        <w:rPr>
          <w:rFonts w:eastAsia="Times New Roman"/>
          <w:lang w:val="fr-FR"/>
        </w:rPr>
        <w:t xml:space="preserve">a </w:t>
      </w:r>
      <w:r w:rsidR="00E66170" w:rsidRPr="007772C4">
        <w:rPr>
          <w:rFonts w:eastAsia="Times New Roman"/>
          <w:lang w:val="fr-FR"/>
        </w:rPr>
        <w:t xml:space="preserve">amené le tribunal à admettre </w:t>
      </w:r>
      <w:r w:rsidR="004617B8" w:rsidRPr="007772C4">
        <w:rPr>
          <w:rFonts w:eastAsia="Times New Roman"/>
          <w:lang w:val="fr-FR"/>
        </w:rPr>
        <w:t>ses déclarations</w:t>
      </w:r>
      <w:r w:rsidR="008873C5" w:rsidRPr="007772C4">
        <w:rPr>
          <w:rFonts w:eastAsia="Times New Roman"/>
          <w:lang w:val="fr-FR"/>
        </w:rPr>
        <w:t xml:space="preserve"> à titre de preuve</w:t>
      </w:r>
      <w:r w:rsidR="00E66170" w:rsidRPr="007772C4">
        <w:rPr>
          <w:rFonts w:eastAsia="Times New Roman"/>
          <w:lang w:val="fr-FR"/>
        </w:rPr>
        <w:t>, s</w:t>
      </w:r>
      <w:r w:rsidR="007772C4" w:rsidRPr="007772C4">
        <w:rPr>
          <w:rFonts w:eastAsia="Times New Roman"/>
          <w:lang w:val="fr-FR"/>
        </w:rPr>
        <w:t>’</w:t>
      </w:r>
      <w:r w:rsidR="00E66170" w:rsidRPr="007772C4">
        <w:rPr>
          <w:rFonts w:eastAsia="Times New Roman"/>
          <w:lang w:val="fr-FR"/>
        </w:rPr>
        <w:t xml:space="preserve">expliquait </w:t>
      </w:r>
      <w:r w:rsidR="00E66170" w:rsidRPr="007772C4">
        <w:rPr>
          <w:rFonts w:eastAsia="Times New Roman"/>
          <w:lang w:val="fr-FR"/>
        </w:rPr>
        <w:lastRenderedPageBreak/>
        <w:t>par l</w:t>
      </w:r>
      <w:r w:rsidR="007772C4" w:rsidRPr="007772C4">
        <w:rPr>
          <w:rFonts w:eastAsia="Times New Roman"/>
          <w:lang w:val="fr-FR"/>
        </w:rPr>
        <w:t>’</w:t>
      </w:r>
      <w:r w:rsidR="00E66170" w:rsidRPr="007772C4">
        <w:rPr>
          <w:rFonts w:eastAsia="Times New Roman"/>
          <w:lang w:val="fr-FR"/>
        </w:rPr>
        <w:t xml:space="preserve">impossibilité </w:t>
      </w:r>
      <w:r w:rsidR="00A31916" w:rsidRPr="007772C4">
        <w:rPr>
          <w:rFonts w:eastAsia="Times New Roman"/>
          <w:lang w:val="fr-FR"/>
        </w:rPr>
        <w:t xml:space="preserve">pour les autorités </w:t>
      </w:r>
      <w:r w:rsidR="00E66170" w:rsidRPr="007772C4">
        <w:rPr>
          <w:rFonts w:eastAsia="Times New Roman"/>
          <w:lang w:val="fr-FR"/>
        </w:rPr>
        <w:t>d</w:t>
      </w:r>
      <w:r w:rsidR="007772C4" w:rsidRPr="007772C4">
        <w:rPr>
          <w:rFonts w:eastAsia="Times New Roman"/>
          <w:lang w:val="fr-FR"/>
        </w:rPr>
        <w:t>’</w:t>
      </w:r>
      <w:r w:rsidR="00E66170" w:rsidRPr="007772C4">
        <w:rPr>
          <w:rFonts w:eastAsia="Times New Roman"/>
          <w:lang w:val="fr-FR"/>
        </w:rPr>
        <w:t xml:space="preserve">entrer en contact avec </w:t>
      </w:r>
      <w:r w:rsidR="004617B8" w:rsidRPr="007772C4">
        <w:rPr>
          <w:rFonts w:eastAsia="Times New Roman"/>
          <w:lang w:val="fr-FR"/>
        </w:rPr>
        <w:t>lui</w:t>
      </w:r>
      <w:r w:rsidR="00E66170" w:rsidRPr="007772C4">
        <w:rPr>
          <w:rFonts w:eastAsia="Times New Roman"/>
          <w:lang w:val="fr-FR"/>
        </w:rPr>
        <w:t xml:space="preserve">. </w:t>
      </w:r>
      <w:r w:rsidR="00A31916" w:rsidRPr="007772C4">
        <w:rPr>
          <w:rFonts w:eastAsia="Times New Roman"/>
          <w:lang w:val="fr-FR"/>
        </w:rPr>
        <w:t>En effet, celles-ci</w:t>
      </w:r>
      <w:r w:rsidR="00E66170" w:rsidRPr="007772C4">
        <w:rPr>
          <w:rFonts w:eastAsia="Times New Roman"/>
          <w:lang w:val="fr-FR"/>
        </w:rPr>
        <w:t xml:space="preserve"> avaient à plusieurs reprises et en vain essayé de lui </w:t>
      </w:r>
      <w:r w:rsidR="008873C5" w:rsidRPr="007772C4">
        <w:rPr>
          <w:rFonts w:eastAsia="Times New Roman"/>
          <w:lang w:val="fr-FR"/>
        </w:rPr>
        <w:t xml:space="preserve">notifier </w:t>
      </w:r>
      <w:r w:rsidR="00E66170" w:rsidRPr="007772C4">
        <w:rPr>
          <w:rFonts w:eastAsia="Times New Roman"/>
          <w:lang w:val="fr-FR"/>
        </w:rPr>
        <w:t xml:space="preserve">la citation à comparaître </w:t>
      </w:r>
      <w:r w:rsidR="008873C5" w:rsidRPr="007772C4">
        <w:rPr>
          <w:rFonts w:eastAsia="Times New Roman"/>
          <w:lang w:val="fr-FR"/>
        </w:rPr>
        <w:t>au</w:t>
      </w:r>
      <w:r w:rsidR="00E66170" w:rsidRPr="007772C4">
        <w:rPr>
          <w:rFonts w:eastAsia="Times New Roman"/>
          <w:lang w:val="fr-FR"/>
        </w:rPr>
        <w:t xml:space="preserve"> domicile qu</w:t>
      </w:r>
      <w:r w:rsidR="007772C4" w:rsidRPr="007772C4">
        <w:rPr>
          <w:rFonts w:eastAsia="Times New Roman"/>
          <w:lang w:val="fr-FR"/>
        </w:rPr>
        <w:t>’</w:t>
      </w:r>
      <w:r w:rsidR="00E66170" w:rsidRPr="007772C4">
        <w:rPr>
          <w:rFonts w:eastAsia="Times New Roman"/>
          <w:lang w:val="fr-FR"/>
        </w:rPr>
        <w:t xml:space="preserve">il avait </w:t>
      </w:r>
      <w:r w:rsidR="008873C5" w:rsidRPr="007772C4">
        <w:rPr>
          <w:rFonts w:eastAsia="Times New Roman"/>
          <w:lang w:val="fr-FR"/>
        </w:rPr>
        <w:t xml:space="preserve">indiqué </w:t>
      </w:r>
      <w:r w:rsidR="00E66170" w:rsidRPr="007772C4">
        <w:rPr>
          <w:rFonts w:eastAsia="Times New Roman"/>
          <w:lang w:val="fr-FR"/>
        </w:rPr>
        <w:t>(</w:t>
      </w:r>
      <w:r w:rsidR="008873C5" w:rsidRPr="007772C4">
        <w:rPr>
          <w:rFonts w:eastAsia="Times New Roman"/>
          <w:lang w:val="fr-FR"/>
        </w:rPr>
        <w:t>celui</w:t>
      </w:r>
      <w:r w:rsidR="00CC0416" w:rsidRPr="007772C4">
        <w:rPr>
          <w:rFonts w:eastAsia="Times New Roman"/>
          <w:lang w:val="fr-FR"/>
        </w:rPr>
        <w:t xml:space="preserve"> de </w:t>
      </w:r>
      <w:r w:rsidR="004617B8" w:rsidRPr="007772C4">
        <w:rPr>
          <w:rFonts w:eastAsia="Times New Roman"/>
          <w:lang w:val="fr-FR"/>
        </w:rPr>
        <w:t>ses parents</w:t>
      </w:r>
      <w:r w:rsidR="00E66170" w:rsidRPr="007772C4">
        <w:rPr>
          <w:rFonts w:eastAsia="Times New Roman"/>
          <w:lang w:val="fr-FR"/>
        </w:rPr>
        <w:t>) et il ne s</w:t>
      </w:r>
      <w:r w:rsidR="007772C4" w:rsidRPr="007772C4">
        <w:rPr>
          <w:rFonts w:eastAsia="Times New Roman"/>
          <w:lang w:val="fr-FR"/>
        </w:rPr>
        <w:t>’</w:t>
      </w:r>
      <w:r w:rsidR="00E66170" w:rsidRPr="007772C4">
        <w:rPr>
          <w:rFonts w:eastAsia="Times New Roman"/>
          <w:lang w:val="fr-FR"/>
        </w:rPr>
        <w:t xml:space="preserve">était pas présenté </w:t>
      </w:r>
      <w:r w:rsidR="00CC0416" w:rsidRPr="007772C4">
        <w:rPr>
          <w:rFonts w:eastAsia="Times New Roman"/>
          <w:lang w:val="fr-FR"/>
        </w:rPr>
        <w:t xml:space="preserve">ni aux audiences </w:t>
      </w:r>
      <w:r w:rsidR="00CC0416" w:rsidRPr="007772C4">
        <w:rPr>
          <w:rFonts w:eastAsia="Times New Roman"/>
          <w:i/>
          <w:lang w:val="fr-FR"/>
        </w:rPr>
        <w:t xml:space="preserve">ad </w:t>
      </w:r>
      <w:r w:rsidR="004D6ED0" w:rsidRPr="007772C4">
        <w:rPr>
          <w:rFonts w:eastAsia="Times New Roman"/>
          <w:i/>
          <w:lang w:val="fr-FR"/>
        </w:rPr>
        <w:t>hoc</w:t>
      </w:r>
      <w:r w:rsidR="00BE5DA3" w:rsidRPr="007772C4">
        <w:rPr>
          <w:rFonts w:eastAsia="Times New Roman"/>
          <w:i/>
          <w:lang w:val="fr-FR"/>
        </w:rPr>
        <w:t xml:space="preserve">, </w:t>
      </w:r>
      <w:r w:rsidR="00BE5DA3" w:rsidRPr="007772C4">
        <w:rPr>
          <w:rFonts w:eastAsia="Times New Roman"/>
          <w:lang w:val="fr-FR"/>
        </w:rPr>
        <w:t>exception faite pour l</w:t>
      </w:r>
      <w:r w:rsidR="007772C4" w:rsidRPr="007772C4">
        <w:rPr>
          <w:rFonts w:eastAsia="Times New Roman"/>
          <w:lang w:val="fr-FR"/>
        </w:rPr>
        <w:t>’</w:t>
      </w:r>
      <w:r w:rsidR="00BE5DA3" w:rsidRPr="007772C4">
        <w:rPr>
          <w:rFonts w:eastAsia="Times New Roman"/>
          <w:lang w:val="fr-FR"/>
        </w:rPr>
        <w:t>audience du</w:t>
      </w:r>
      <w:r w:rsidR="00F175EE" w:rsidRPr="007772C4">
        <w:rPr>
          <w:rFonts w:eastAsia="Times New Roman"/>
          <w:lang w:val="fr-FR"/>
        </w:rPr>
        <w:t xml:space="preserve"> </w:t>
      </w:r>
      <w:r w:rsidR="00BE5DA3" w:rsidRPr="007772C4">
        <w:rPr>
          <w:rFonts w:eastAsia="Times New Roman"/>
          <w:lang w:val="fr-FR"/>
        </w:rPr>
        <w:t>28 janvier 1997, qui n</w:t>
      </w:r>
      <w:r w:rsidR="007772C4" w:rsidRPr="007772C4">
        <w:rPr>
          <w:rFonts w:eastAsia="Times New Roman"/>
          <w:lang w:val="fr-FR"/>
        </w:rPr>
        <w:t>’</w:t>
      </w:r>
      <w:r w:rsidR="00BE5DA3" w:rsidRPr="007772C4">
        <w:rPr>
          <w:rFonts w:eastAsia="Times New Roman"/>
          <w:lang w:val="fr-FR"/>
        </w:rPr>
        <w:t>eut pas lieu en raison de l</w:t>
      </w:r>
      <w:r w:rsidR="007772C4" w:rsidRPr="007772C4">
        <w:rPr>
          <w:rFonts w:eastAsia="Times New Roman"/>
          <w:lang w:val="fr-FR"/>
        </w:rPr>
        <w:t>’</w:t>
      </w:r>
      <w:r w:rsidR="00BE5DA3" w:rsidRPr="007772C4">
        <w:rPr>
          <w:rFonts w:eastAsia="Times New Roman"/>
          <w:lang w:val="fr-FR"/>
        </w:rPr>
        <w:t xml:space="preserve">absence du procureur </w:t>
      </w:r>
      <w:r w:rsidR="00FA3862" w:rsidRPr="007772C4">
        <w:rPr>
          <w:rFonts w:eastAsia="Times New Roman"/>
          <w:lang w:val="fr-FR"/>
        </w:rPr>
        <w:t>(voir</w:t>
      </w:r>
      <w:r w:rsidR="00BE5DA3" w:rsidRPr="007772C4">
        <w:rPr>
          <w:rFonts w:eastAsia="Times New Roman"/>
          <w:lang w:val="fr-FR"/>
        </w:rPr>
        <w:t xml:space="preserve"> paragraphe 9 ci-dessus), </w:t>
      </w:r>
      <w:r w:rsidR="00CC0416" w:rsidRPr="007772C4">
        <w:rPr>
          <w:rFonts w:eastAsia="Times New Roman"/>
          <w:lang w:val="fr-FR"/>
        </w:rPr>
        <w:t>ni à l</w:t>
      </w:r>
      <w:r w:rsidR="007772C4" w:rsidRPr="007772C4">
        <w:rPr>
          <w:rFonts w:eastAsia="Times New Roman"/>
          <w:lang w:val="fr-FR"/>
        </w:rPr>
        <w:t>’</w:t>
      </w:r>
      <w:r w:rsidR="00CC0416" w:rsidRPr="007772C4">
        <w:rPr>
          <w:rFonts w:eastAsia="Times New Roman"/>
          <w:lang w:val="fr-FR"/>
        </w:rPr>
        <w:t xml:space="preserve">audience </w:t>
      </w:r>
      <w:r w:rsidR="00E66170" w:rsidRPr="007772C4">
        <w:rPr>
          <w:rFonts w:eastAsia="Times New Roman"/>
          <w:lang w:val="fr-FR"/>
        </w:rPr>
        <w:t xml:space="preserve">du </w:t>
      </w:r>
      <w:r w:rsidR="00DC4C7D" w:rsidRPr="007772C4">
        <w:rPr>
          <w:rFonts w:eastAsia="Times New Roman"/>
          <w:lang w:val="fr-FR"/>
        </w:rPr>
        <w:t>27 </w:t>
      </w:r>
      <w:r w:rsidR="004617B8" w:rsidRPr="007772C4">
        <w:rPr>
          <w:rFonts w:eastAsia="Times New Roman"/>
          <w:lang w:val="fr-FR"/>
        </w:rPr>
        <w:t>mai</w:t>
      </w:r>
      <w:r w:rsidR="00DC4C7D" w:rsidRPr="007772C4">
        <w:rPr>
          <w:rFonts w:eastAsia="Times New Roman"/>
          <w:lang w:val="fr-FR"/>
        </w:rPr>
        <w:t> </w:t>
      </w:r>
      <w:r w:rsidR="004617B8" w:rsidRPr="007772C4">
        <w:rPr>
          <w:rFonts w:eastAsia="Times New Roman"/>
          <w:lang w:val="fr-FR"/>
        </w:rPr>
        <w:t>2003</w:t>
      </w:r>
      <w:r w:rsidR="00E66170" w:rsidRPr="007772C4">
        <w:rPr>
          <w:rFonts w:eastAsia="Times New Roman"/>
          <w:lang w:val="fr-FR"/>
        </w:rPr>
        <w:t xml:space="preserve"> qui devait être consacrée à son audition (paragraphe </w:t>
      </w:r>
      <w:r w:rsidR="004617B8" w:rsidRPr="007772C4">
        <w:rPr>
          <w:rFonts w:eastAsia="Times New Roman"/>
          <w:lang w:val="fr-FR"/>
        </w:rPr>
        <w:fldChar w:fldCharType="begin"/>
      </w:r>
      <w:r w:rsidR="004617B8" w:rsidRPr="007772C4">
        <w:rPr>
          <w:rFonts w:eastAsia="Times New Roman"/>
          <w:lang w:val="fr-FR"/>
        </w:rPr>
        <w:instrText xml:space="preserve"> REF par12 \h </w:instrText>
      </w:r>
      <w:r w:rsidR="00F34FBC" w:rsidRPr="007772C4">
        <w:rPr>
          <w:rFonts w:eastAsia="Times New Roman"/>
          <w:lang w:val="fr-FR"/>
        </w:rPr>
        <w:instrText xml:space="preserve"> \* MERGEFORMAT </w:instrText>
      </w:r>
      <w:r w:rsidR="004617B8" w:rsidRPr="007772C4">
        <w:rPr>
          <w:rFonts w:eastAsia="Times New Roman"/>
          <w:lang w:val="fr-FR"/>
        </w:rPr>
      </w:r>
      <w:r w:rsidR="004617B8" w:rsidRPr="007772C4">
        <w:rPr>
          <w:rFonts w:eastAsia="Times New Roman"/>
          <w:lang w:val="fr-FR"/>
        </w:rPr>
        <w:fldChar w:fldCharType="separate"/>
      </w:r>
      <w:r w:rsidR="007772C4" w:rsidRPr="007772C4">
        <w:rPr>
          <w:noProof/>
          <w:lang w:val="fr-FR"/>
        </w:rPr>
        <w:t>12</w:t>
      </w:r>
      <w:r w:rsidR="004617B8" w:rsidRPr="007772C4">
        <w:rPr>
          <w:rFonts w:eastAsia="Times New Roman"/>
          <w:lang w:val="fr-FR"/>
        </w:rPr>
        <w:fldChar w:fldCharType="end"/>
      </w:r>
      <w:r w:rsidR="00E66170" w:rsidRPr="007772C4">
        <w:rPr>
          <w:rFonts w:eastAsia="Times New Roman"/>
          <w:lang w:val="fr-FR"/>
        </w:rPr>
        <w:t xml:space="preserve"> ci-dessus).</w:t>
      </w:r>
    </w:p>
    <w:p w:rsidR="00E66170" w:rsidRPr="007772C4" w:rsidRDefault="00440CB7" w:rsidP="007772C4">
      <w:pPr>
        <w:pStyle w:val="ECHRPara"/>
        <w:rPr>
          <w:rFonts w:eastAsia="Times New Roman"/>
          <w:lang w:val="fr-FR"/>
        </w:rPr>
      </w:pPr>
      <w:r w:rsidRPr="007772C4">
        <w:rPr>
          <w:rFonts w:eastAsia="Times New Roman"/>
          <w:lang w:val="fr-FR"/>
        </w:rPr>
        <w:fldChar w:fldCharType="begin"/>
      </w:r>
      <w:r w:rsidRPr="007772C4">
        <w:rPr>
          <w:rFonts w:eastAsia="Times New Roman"/>
          <w:lang w:val="fr-FR"/>
        </w:rPr>
        <w:instrText xml:space="preserve"> SEQ level0 \*arabic </w:instrText>
      </w:r>
      <w:r w:rsidRPr="007772C4">
        <w:rPr>
          <w:rFonts w:eastAsia="Times New Roman"/>
          <w:lang w:val="fr-FR"/>
        </w:rPr>
        <w:fldChar w:fldCharType="separate"/>
      </w:r>
      <w:r w:rsidR="007772C4" w:rsidRPr="007772C4">
        <w:rPr>
          <w:rFonts w:eastAsia="Times New Roman"/>
          <w:noProof/>
          <w:lang w:val="fr-FR"/>
        </w:rPr>
        <w:t>42</w:t>
      </w:r>
      <w:r w:rsidRPr="007772C4">
        <w:rPr>
          <w:rFonts w:eastAsia="Times New Roman"/>
          <w:lang w:val="fr-FR"/>
        </w:rPr>
        <w:fldChar w:fldCharType="end"/>
      </w:r>
      <w:r w:rsidRPr="007772C4">
        <w:rPr>
          <w:rFonts w:eastAsia="Times New Roman"/>
          <w:lang w:val="fr-FR"/>
        </w:rPr>
        <w:t>.  </w:t>
      </w:r>
      <w:r w:rsidR="00E66170" w:rsidRPr="007772C4">
        <w:rPr>
          <w:rFonts w:eastAsia="Times New Roman"/>
          <w:lang w:val="fr-FR"/>
        </w:rPr>
        <w:t>La Cour rappelle que</w:t>
      </w:r>
      <w:r w:rsidR="00924A3A" w:rsidRPr="007772C4">
        <w:rPr>
          <w:rFonts w:eastAsia="Times New Roman"/>
          <w:lang w:val="fr-FR"/>
        </w:rPr>
        <w:t>,</w:t>
      </w:r>
      <w:r w:rsidR="00E66170" w:rsidRPr="007772C4">
        <w:rPr>
          <w:rFonts w:eastAsia="Times New Roman"/>
          <w:lang w:val="fr-FR"/>
        </w:rPr>
        <w:t xml:space="preserve"> lorsque l</w:t>
      </w:r>
      <w:r w:rsidR="007772C4" w:rsidRPr="007772C4">
        <w:rPr>
          <w:rFonts w:eastAsia="Times New Roman"/>
          <w:lang w:val="fr-FR"/>
        </w:rPr>
        <w:t>’</w:t>
      </w:r>
      <w:r w:rsidR="00E66170" w:rsidRPr="007772C4">
        <w:rPr>
          <w:rFonts w:eastAsia="Times New Roman"/>
          <w:lang w:val="fr-FR"/>
        </w:rPr>
        <w:t xml:space="preserve">absence du témoin </w:t>
      </w:r>
      <w:r w:rsidR="00924A3A" w:rsidRPr="007772C4">
        <w:rPr>
          <w:rFonts w:eastAsia="Times New Roman"/>
          <w:lang w:val="fr-FR"/>
        </w:rPr>
        <w:t>s</w:t>
      </w:r>
      <w:r w:rsidR="007772C4" w:rsidRPr="007772C4">
        <w:rPr>
          <w:rFonts w:eastAsia="Times New Roman"/>
          <w:lang w:val="fr-FR"/>
        </w:rPr>
        <w:t>’</w:t>
      </w:r>
      <w:r w:rsidR="00924A3A" w:rsidRPr="007772C4">
        <w:rPr>
          <w:rFonts w:eastAsia="Times New Roman"/>
          <w:lang w:val="fr-FR"/>
        </w:rPr>
        <w:t>explique p</w:t>
      </w:r>
      <w:r w:rsidR="00730B5D" w:rsidRPr="007772C4">
        <w:rPr>
          <w:rFonts w:eastAsia="Times New Roman"/>
          <w:lang w:val="fr-FR"/>
        </w:rPr>
        <w:t>ar</w:t>
      </w:r>
      <w:r w:rsidR="00924A3A" w:rsidRPr="007772C4">
        <w:rPr>
          <w:rFonts w:eastAsia="Times New Roman"/>
          <w:lang w:val="fr-FR"/>
        </w:rPr>
        <w:t xml:space="preserve"> la</w:t>
      </w:r>
      <w:r w:rsidR="00E66170" w:rsidRPr="007772C4">
        <w:rPr>
          <w:rFonts w:eastAsia="Times New Roman"/>
          <w:lang w:val="fr-FR"/>
        </w:rPr>
        <w:t xml:space="preserve"> raison</w:t>
      </w:r>
      <w:r w:rsidR="00924A3A" w:rsidRPr="007772C4">
        <w:rPr>
          <w:rFonts w:eastAsia="Times New Roman"/>
          <w:lang w:val="fr-FR"/>
        </w:rPr>
        <w:t xml:space="preserve"> évoquée </w:t>
      </w:r>
      <w:r w:rsidR="00B40187" w:rsidRPr="007772C4">
        <w:rPr>
          <w:rFonts w:eastAsia="Times New Roman"/>
          <w:lang w:val="fr-FR"/>
        </w:rPr>
        <w:t>en</w:t>
      </w:r>
      <w:r w:rsidR="00924A3A" w:rsidRPr="007772C4">
        <w:rPr>
          <w:rFonts w:eastAsia="Times New Roman"/>
          <w:lang w:val="fr-FR"/>
        </w:rPr>
        <w:t xml:space="preserve"> l</w:t>
      </w:r>
      <w:r w:rsidR="007772C4" w:rsidRPr="007772C4">
        <w:rPr>
          <w:rFonts w:eastAsia="Times New Roman"/>
          <w:lang w:val="fr-FR"/>
        </w:rPr>
        <w:t>’</w:t>
      </w:r>
      <w:r w:rsidR="00924A3A" w:rsidRPr="007772C4">
        <w:rPr>
          <w:rFonts w:eastAsia="Times New Roman"/>
          <w:lang w:val="fr-FR"/>
        </w:rPr>
        <w:t>espèce</w:t>
      </w:r>
      <w:r w:rsidR="00E66170" w:rsidRPr="007772C4">
        <w:rPr>
          <w:rFonts w:eastAsia="Times New Roman"/>
          <w:lang w:val="fr-FR"/>
        </w:rPr>
        <w:t>, elle exige du tribunal du fond qu</w:t>
      </w:r>
      <w:r w:rsidR="007772C4" w:rsidRPr="007772C4">
        <w:rPr>
          <w:rFonts w:eastAsia="Times New Roman"/>
          <w:lang w:val="fr-FR"/>
        </w:rPr>
        <w:t>’</w:t>
      </w:r>
      <w:r w:rsidR="00E66170" w:rsidRPr="007772C4">
        <w:rPr>
          <w:rFonts w:eastAsia="Times New Roman"/>
          <w:lang w:val="fr-FR"/>
        </w:rPr>
        <w:t>il ait fait tout ce que l</w:t>
      </w:r>
      <w:r w:rsidR="007772C4" w:rsidRPr="007772C4">
        <w:rPr>
          <w:rFonts w:eastAsia="Times New Roman"/>
          <w:lang w:val="fr-FR"/>
        </w:rPr>
        <w:t>’</w:t>
      </w:r>
      <w:r w:rsidR="00E66170" w:rsidRPr="007772C4">
        <w:rPr>
          <w:rFonts w:eastAsia="Times New Roman"/>
          <w:lang w:val="fr-FR"/>
        </w:rPr>
        <w:t>on pouvait raisonnablement attendre de lui pour assurer la comparution de l</w:t>
      </w:r>
      <w:r w:rsidR="007772C4" w:rsidRPr="007772C4">
        <w:rPr>
          <w:rFonts w:eastAsia="Times New Roman"/>
          <w:lang w:val="fr-FR"/>
        </w:rPr>
        <w:t>’</w:t>
      </w:r>
      <w:r w:rsidR="00E66170" w:rsidRPr="007772C4">
        <w:rPr>
          <w:rFonts w:eastAsia="Times New Roman"/>
          <w:lang w:val="fr-FR"/>
        </w:rPr>
        <w:t>intéressé (</w:t>
      </w:r>
      <w:proofErr w:type="spellStart"/>
      <w:r w:rsidR="00E66170" w:rsidRPr="007772C4">
        <w:rPr>
          <w:rFonts w:eastAsia="Times New Roman"/>
          <w:i/>
          <w:lang w:val="fr-FR"/>
        </w:rPr>
        <w:t>Gabrielyan</w:t>
      </w:r>
      <w:proofErr w:type="spellEnd"/>
      <w:r w:rsidR="00E66170" w:rsidRPr="007772C4">
        <w:rPr>
          <w:rFonts w:eastAsia="Times New Roman"/>
          <w:i/>
          <w:lang w:val="fr-FR"/>
        </w:rPr>
        <w:t xml:space="preserve"> c. Arménie,</w:t>
      </w:r>
      <w:r w:rsidR="00E66170" w:rsidRPr="007772C4">
        <w:rPr>
          <w:rFonts w:eastAsia="Times New Roman"/>
          <w:lang w:val="fr-FR"/>
        </w:rPr>
        <w:t xml:space="preserve"> n</w:t>
      </w:r>
      <w:r w:rsidR="00615CAA" w:rsidRPr="007772C4">
        <w:rPr>
          <w:rFonts w:eastAsia="Times New Roman"/>
          <w:vertAlign w:val="superscript"/>
          <w:lang w:val="fr-FR"/>
        </w:rPr>
        <w:t>o</w:t>
      </w:r>
      <w:r w:rsidR="00E66170" w:rsidRPr="007772C4">
        <w:rPr>
          <w:rFonts w:eastAsia="Times New Roman"/>
          <w:lang w:val="fr-FR"/>
        </w:rPr>
        <w:t xml:space="preserve"> </w:t>
      </w:r>
      <w:hyperlink r:id="rId20" w:anchor="{&quot;appno&quot;:[&quot;8088/05&quot;]}" w:tgtFrame="_blank" w:history="1">
        <w:r w:rsidR="00E66170" w:rsidRPr="007772C4">
          <w:rPr>
            <w:rFonts w:eastAsia="Times New Roman"/>
            <w:lang w:val="fr-FR"/>
          </w:rPr>
          <w:t>8088/05</w:t>
        </w:r>
      </w:hyperlink>
      <w:r w:rsidR="00F710EE" w:rsidRPr="007772C4">
        <w:rPr>
          <w:rFonts w:eastAsia="Times New Roman"/>
          <w:lang w:val="fr-FR"/>
        </w:rPr>
        <w:t>, § 78, 10 </w:t>
      </w:r>
      <w:r w:rsidR="00E66170" w:rsidRPr="007772C4">
        <w:rPr>
          <w:rFonts w:eastAsia="Times New Roman"/>
          <w:lang w:val="fr-FR"/>
        </w:rPr>
        <w:t>avril 2012</w:t>
      </w:r>
      <w:r w:rsidR="00730B5D" w:rsidRPr="007772C4">
        <w:rPr>
          <w:rFonts w:eastAsia="Times New Roman"/>
          <w:lang w:val="fr-FR"/>
        </w:rPr>
        <w:t xml:space="preserve">, </w:t>
      </w:r>
      <w:proofErr w:type="spellStart"/>
      <w:r w:rsidR="00E66170" w:rsidRPr="007772C4">
        <w:rPr>
          <w:rFonts w:eastAsia="Times New Roman"/>
          <w:i/>
          <w:lang w:val="fr-FR"/>
        </w:rPr>
        <w:t>Tseber</w:t>
      </w:r>
      <w:proofErr w:type="spellEnd"/>
      <w:r w:rsidR="00E66170" w:rsidRPr="007772C4">
        <w:rPr>
          <w:rFonts w:eastAsia="Times New Roman"/>
          <w:i/>
          <w:lang w:val="fr-FR"/>
        </w:rPr>
        <w:t xml:space="preserve"> c. République tchèque,</w:t>
      </w:r>
      <w:r w:rsidR="00E66170" w:rsidRPr="007772C4">
        <w:rPr>
          <w:rFonts w:eastAsia="Times New Roman"/>
          <w:lang w:val="fr-FR"/>
        </w:rPr>
        <w:t xml:space="preserve"> n</w:t>
      </w:r>
      <w:r w:rsidR="00615CAA" w:rsidRPr="007772C4">
        <w:rPr>
          <w:rFonts w:eastAsia="Times New Roman"/>
          <w:vertAlign w:val="superscript"/>
          <w:lang w:val="fr-FR"/>
        </w:rPr>
        <w:t>o</w:t>
      </w:r>
      <w:r w:rsidR="00E66170" w:rsidRPr="007772C4">
        <w:rPr>
          <w:rFonts w:eastAsia="Times New Roman"/>
          <w:lang w:val="fr-FR"/>
        </w:rPr>
        <w:t xml:space="preserve"> </w:t>
      </w:r>
      <w:hyperlink r:id="rId21" w:anchor="{&quot;appno&quot;:[&quot;46203/08&quot;]}" w:tgtFrame="_blank" w:history="1">
        <w:r w:rsidR="00E66170" w:rsidRPr="007772C4">
          <w:rPr>
            <w:rFonts w:eastAsia="Times New Roman"/>
            <w:lang w:val="fr-FR"/>
          </w:rPr>
          <w:t>46203/08</w:t>
        </w:r>
      </w:hyperlink>
      <w:r w:rsidR="00D21185" w:rsidRPr="007772C4">
        <w:rPr>
          <w:rFonts w:eastAsia="Times New Roman"/>
          <w:lang w:val="fr-FR"/>
        </w:rPr>
        <w:t>, § 48, 22 </w:t>
      </w:r>
      <w:r w:rsidR="00E66170" w:rsidRPr="007772C4">
        <w:rPr>
          <w:rFonts w:eastAsia="Times New Roman"/>
          <w:lang w:val="fr-FR"/>
        </w:rPr>
        <w:t>novembre 2012</w:t>
      </w:r>
      <w:r w:rsidR="00730B5D" w:rsidRPr="007772C4">
        <w:rPr>
          <w:rFonts w:eastAsia="Times New Roman"/>
          <w:lang w:val="fr-FR"/>
        </w:rPr>
        <w:t>,</w:t>
      </w:r>
      <w:r w:rsidR="00E66170" w:rsidRPr="007772C4">
        <w:rPr>
          <w:rFonts w:eastAsia="Times New Roman"/>
          <w:lang w:val="fr-FR"/>
        </w:rPr>
        <w:t xml:space="preserve"> et </w:t>
      </w:r>
      <w:proofErr w:type="spellStart"/>
      <w:r w:rsidR="00E66170" w:rsidRPr="007772C4">
        <w:rPr>
          <w:rFonts w:eastAsia="Times New Roman"/>
          <w:i/>
          <w:lang w:val="fr-FR"/>
        </w:rPr>
        <w:t>Kostecki</w:t>
      </w:r>
      <w:proofErr w:type="spellEnd"/>
      <w:r w:rsidR="00E66170" w:rsidRPr="007772C4">
        <w:rPr>
          <w:rFonts w:eastAsia="Times New Roman"/>
          <w:i/>
          <w:lang w:val="fr-FR"/>
        </w:rPr>
        <w:t xml:space="preserve"> c. Pologne,</w:t>
      </w:r>
      <w:r w:rsidR="00E66170" w:rsidRPr="007772C4">
        <w:rPr>
          <w:rFonts w:eastAsia="Times New Roman"/>
          <w:lang w:val="fr-FR"/>
        </w:rPr>
        <w:t xml:space="preserve"> </w:t>
      </w:r>
      <w:r w:rsidR="00730B5D" w:rsidRPr="007772C4">
        <w:rPr>
          <w:rFonts w:eastAsia="Times New Roman"/>
          <w:lang w:val="fr-FR"/>
        </w:rPr>
        <w:t>n</w:t>
      </w:r>
      <w:r w:rsidR="00615CAA" w:rsidRPr="007772C4">
        <w:rPr>
          <w:rFonts w:eastAsia="Times New Roman"/>
          <w:vertAlign w:val="superscript"/>
          <w:lang w:val="fr-FR"/>
        </w:rPr>
        <w:t>o</w:t>
      </w:r>
      <w:r w:rsidR="00E66170" w:rsidRPr="007772C4">
        <w:rPr>
          <w:rFonts w:eastAsia="Times New Roman"/>
          <w:lang w:val="fr-FR"/>
        </w:rPr>
        <w:t xml:space="preserve"> </w:t>
      </w:r>
      <w:hyperlink r:id="rId22" w:anchor="{&quot;appno&quot;:[&quot;14932/09&quot;]}" w:tgtFrame="_blank" w:history="1">
        <w:r w:rsidR="00E66170" w:rsidRPr="007772C4">
          <w:rPr>
            <w:rFonts w:eastAsia="Times New Roman"/>
            <w:lang w:val="fr-FR"/>
          </w:rPr>
          <w:t>14932/09</w:t>
        </w:r>
      </w:hyperlink>
      <w:r w:rsidR="00DC4C7D" w:rsidRPr="007772C4">
        <w:rPr>
          <w:rFonts w:eastAsia="Times New Roman"/>
          <w:lang w:val="fr-FR"/>
        </w:rPr>
        <w:t>, §§ 65-66, 4 juin </w:t>
      </w:r>
      <w:r w:rsidR="00E66170" w:rsidRPr="007772C4">
        <w:rPr>
          <w:rFonts w:eastAsia="Times New Roman"/>
          <w:lang w:val="fr-FR"/>
        </w:rPr>
        <w:t xml:space="preserve">2013). </w:t>
      </w:r>
      <w:proofErr w:type="gramStart"/>
      <w:r w:rsidR="00E66170" w:rsidRPr="007772C4">
        <w:rPr>
          <w:rFonts w:eastAsia="Times New Roman"/>
          <w:lang w:val="fr-FR"/>
        </w:rPr>
        <w:t>L</w:t>
      </w:r>
      <w:r w:rsidR="007772C4" w:rsidRPr="007772C4">
        <w:rPr>
          <w:rFonts w:eastAsia="Times New Roman"/>
          <w:lang w:val="fr-FR"/>
        </w:rPr>
        <w:t>’</w:t>
      </w:r>
      <w:r w:rsidR="00E66170" w:rsidRPr="007772C4">
        <w:rPr>
          <w:rFonts w:eastAsia="Times New Roman"/>
          <w:lang w:val="fr-FR"/>
        </w:rPr>
        <w:t>impossibilité pour les juridictions internes d</w:t>
      </w:r>
      <w:r w:rsidR="007772C4" w:rsidRPr="007772C4">
        <w:rPr>
          <w:rFonts w:eastAsia="Times New Roman"/>
          <w:lang w:val="fr-FR"/>
        </w:rPr>
        <w:t>’</w:t>
      </w:r>
      <w:r w:rsidR="00E66170" w:rsidRPr="007772C4">
        <w:rPr>
          <w:rFonts w:eastAsia="Times New Roman"/>
          <w:lang w:val="fr-FR"/>
        </w:rPr>
        <w:t>entrer en contact avec le témoin concerné ou le fait que celui-ci a quitté le territoire du pays dans lequel l</w:t>
      </w:r>
      <w:r w:rsidR="007772C4" w:rsidRPr="007772C4">
        <w:rPr>
          <w:rFonts w:eastAsia="Times New Roman"/>
          <w:lang w:val="fr-FR"/>
        </w:rPr>
        <w:t>’</w:t>
      </w:r>
      <w:r w:rsidR="00E66170" w:rsidRPr="007772C4">
        <w:rPr>
          <w:rFonts w:eastAsia="Times New Roman"/>
          <w:lang w:val="fr-FR"/>
        </w:rPr>
        <w:t>instance est conduite ont été jugés insuffisants en soi pour satisfaire à l</w:t>
      </w:r>
      <w:r w:rsidR="007772C4" w:rsidRPr="007772C4">
        <w:rPr>
          <w:rFonts w:eastAsia="Times New Roman"/>
          <w:lang w:val="fr-FR"/>
        </w:rPr>
        <w:t>’</w:t>
      </w:r>
      <w:r w:rsidR="00E66170" w:rsidRPr="007772C4">
        <w:rPr>
          <w:rFonts w:eastAsia="Times New Roman"/>
          <w:lang w:val="fr-FR"/>
        </w:rPr>
        <w:t>article 6 § 3 d), lequel exige des États contractants qu</w:t>
      </w:r>
      <w:r w:rsidR="007772C4" w:rsidRPr="007772C4">
        <w:rPr>
          <w:rFonts w:eastAsia="Times New Roman"/>
          <w:lang w:val="fr-FR"/>
        </w:rPr>
        <w:t>’</w:t>
      </w:r>
      <w:r w:rsidR="00E66170" w:rsidRPr="007772C4">
        <w:rPr>
          <w:rFonts w:eastAsia="Times New Roman"/>
          <w:lang w:val="fr-FR"/>
        </w:rPr>
        <w:t>ils prennent des mesures positives pour permettre à l</w:t>
      </w:r>
      <w:r w:rsidR="007772C4" w:rsidRPr="007772C4">
        <w:rPr>
          <w:rFonts w:eastAsia="Times New Roman"/>
          <w:lang w:val="fr-FR"/>
        </w:rPr>
        <w:t>’</w:t>
      </w:r>
      <w:r w:rsidR="00E66170" w:rsidRPr="007772C4">
        <w:rPr>
          <w:rFonts w:eastAsia="Times New Roman"/>
          <w:lang w:val="fr-FR"/>
        </w:rPr>
        <w:t>accusé d</w:t>
      </w:r>
      <w:r w:rsidR="007772C4" w:rsidRPr="007772C4">
        <w:rPr>
          <w:rFonts w:eastAsia="Times New Roman"/>
          <w:lang w:val="fr-FR"/>
        </w:rPr>
        <w:t>’</w:t>
      </w:r>
      <w:r w:rsidR="00E66170" w:rsidRPr="007772C4">
        <w:rPr>
          <w:rFonts w:eastAsia="Times New Roman"/>
          <w:lang w:val="fr-FR"/>
        </w:rPr>
        <w:t>interroger ou de faire interroger les témoins à charge (</w:t>
      </w:r>
      <w:proofErr w:type="spellStart"/>
      <w:r w:rsidR="00E66170" w:rsidRPr="007772C4">
        <w:rPr>
          <w:rFonts w:eastAsia="Times New Roman"/>
          <w:i/>
          <w:lang w:val="fr-FR"/>
        </w:rPr>
        <w:t>Gabrielyan</w:t>
      </w:r>
      <w:proofErr w:type="spellEnd"/>
      <w:r w:rsidR="00E66170" w:rsidRPr="007772C4">
        <w:rPr>
          <w:rFonts w:eastAsia="Times New Roman"/>
          <w:i/>
          <w:lang w:val="fr-FR"/>
        </w:rPr>
        <w:t>,</w:t>
      </w:r>
      <w:r w:rsidR="00E66170" w:rsidRPr="007772C4">
        <w:rPr>
          <w:rFonts w:eastAsia="Times New Roman"/>
          <w:lang w:val="fr-FR"/>
        </w:rPr>
        <w:t xml:space="preserve"> précité, § 81, </w:t>
      </w:r>
      <w:proofErr w:type="spellStart"/>
      <w:r w:rsidR="00E66170" w:rsidRPr="007772C4">
        <w:rPr>
          <w:rFonts w:eastAsia="Times New Roman"/>
          <w:i/>
          <w:lang w:val="fr-FR"/>
        </w:rPr>
        <w:t>Tseber</w:t>
      </w:r>
      <w:proofErr w:type="spellEnd"/>
      <w:r w:rsidR="00E66170" w:rsidRPr="007772C4">
        <w:rPr>
          <w:rFonts w:eastAsia="Times New Roman"/>
          <w:lang w:val="fr-FR"/>
        </w:rPr>
        <w:t>, précité, §</w:t>
      </w:r>
      <w:r w:rsidR="001E2374" w:rsidRPr="007772C4">
        <w:rPr>
          <w:rFonts w:eastAsia="Times New Roman"/>
          <w:lang w:val="fr-FR"/>
        </w:rPr>
        <w:t> </w:t>
      </w:r>
      <w:r w:rsidR="00E66170" w:rsidRPr="007772C4">
        <w:rPr>
          <w:rFonts w:eastAsia="Times New Roman"/>
          <w:lang w:val="fr-FR"/>
        </w:rPr>
        <w:t xml:space="preserve">48, et </w:t>
      </w:r>
      <w:proofErr w:type="spellStart"/>
      <w:r w:rsidR="00E66170" w:rsidRPr="007772C4">
        <w:rPr>
          <w:rFonts w:eastAsia="Times New Roman"/>
          <w:i/>
          <w:lang w:val="fr-FR"/>
        </w:rPr>
        <w:t>Lučić</w:t>
      </w:r>
      <w:proofErr w:type="spellEnd"/>
      <w:r w:rsidR="00E66170" w:rsidRPr="007772C4">
        <w:rPr>
          <w:rFonts w:eastAsia="Times New Roman"/>
          <w:i/>
          <w:lang w:val="fr-FR"/>
        </w:rPr>
        <w:t xml:space="preserve"> c. Croatie</w:t>
      </w:r>
      <w:r w:rsidR="00E66170" w:rsidRPr="007772C4">
        <w:rPr>
          <w:rFonts w:eastAsia="Times New Roman"/>
          <w:lang w:val="fr-FR"/>
        </w:rPr>
        <w:t>, n</w:t>
      </w:r>
      <w:r w:rsidR="00615CAA" w:rsidRPr="007772C4">
        <w:rPr>
          <w:rFonts w:eastAsia="Times New Roman"/>
          <w:vertAlign w:val="superscript"/>
          <w:lang w:val="fr-FR"/>
        </w:rPr>
        <w:t>o</w:t>
      </w:r>
      <w:r w:rsidR="00E66170" w:rsidRPr="007772C4">
        <w:rPr>
          <w:rFonts w:eastAsia="Times New Roman"/>
          <w:lang w:val="fr-FR"/>
        </w:rPr>
        <w:t xml:space="preserve"> </w:t>
      </w:r>
      <w:hyperlink r:id="rId23" w:anchor="{&quot;appno&quot;:[&quot;5699/11&quot;]}" w:tgtFrame="_blank" w:history="1">
        <w:r w:rsidR="00E66170" w:rsidRPr="007772C4">
          <w:rPr>
            <w:rFonts w:eastAsia="Times New Roman"/>
            <w:lang w:val="fr-FR"/>
          </w:rPr>
          <w:t>5699/11</w:t>
        </w:r>
      </w:hyperlink>
      <w:r w:rsidR="00E66170" w:rsidRPr="007772C4">
        <w:rPr>
          <w:rFonts w:eastAsia="Times New Roman"/>
          <w:lang w:val="fr-FR"/>
        </w:rPr>
        <w:t>, § 79, 27 février 2014).</w:t>
      </w:r>
      <w:proofErr w:type="gramEnd"/>
    </w:p>
    <w:p w:rsidR="00CC0416" w:rsidRPr="007772C4" w:rsidRDefault="00440CB7" w:rsidP="007772C4">
      <w:pPr>
        <w:pStyle w:val="ECHRPara"/>
        <w:rPr>
          <w:rFonts w:eastAsia="Times New Roman"/>
          <w:lang w:val="fr-FR"/>
        </w:rPr>
      </w:pPr>
      <w:r w:rsidRPr="007772C4">
        <w:rPr>
          <w:rFonts w:eastAsia="Times New Roman"/>
          <w:lang w:val="fr-FR"/>
        </w:rPr>
        <w:fldChar w:fldCharType="begin"/>
      </w:r>
      <w:r w:rsidRPr="007772C4">
        <w:rPr>
          <w:rFonts w:eastAsia="Times New Roman"/>
          <w:lang w:val="fr-FR"/>
        </w:rPr>
        <w:instrText xml:space="preserve"> SEQ level0 \*arabic </w:instrText>
      </w:r>
      <w:r w:rsidRPr="007772C4">
        <w:rPr>
          <w:rFonts w:eastAsia="Times New Roman"/>
          <w:lang w:val="fr-FR"/>
        </w:rPr>
        <w:fldChar w:fldCharType="separate"/>
      </w:r>
      <w:r w:rsidR="007772C4" w:rsidRPr="007772C4">
        <w:rPr>
          <w:rFonts w:eastAsia="Times New Roman"/>
          <w:noProof/>
          <w:lang w:val="fr-FR"/>
        </w:rPr>
        <w:t>43</w:t>
      </w:r>
      <w:r w:rsidRPr="007772C4">
        <w:rPr>
          <w:rFonts w:eastAsia="Times New Roman"/>
          <w:lang w:val="fr-FR"/>
        </w:rPr>
        <w:fldChar w:fldCharType="end"/>
      </w:r>
      <w:r w:rsidRPr="007772C4">
        <w:rPr>
          <w:rFonts w:eastAsia="Times New Roman"/>
          <w:lang w:val="fr-FR"/>
        </w:rPr>
        <w:t>.  </w:t>
      </w:r>
      <w:r w:rsidR="00E66170" w:rsidRPr="007772C4">
        <w:rPr>
          <w:rFonts w:eastAsia="Times New Roman"/>
          <w:lang w:val="fr-FR"/>
        </w:rPr>
        <w:t>Pareilles mesures relèvent de la diligence que les États contractants doivent déployer pour assurer la jouissance effective des droits garantis par l</w:t>
      </w:r>
      <w:r w:rsidR="007772C4" w:rsidRPr="007772C4">
        <w:rPr>
          <w:rFonts w:eastAsia="Times New Roman"/>
          <w:lang w:val="fr-FR"/>
        </w:rPr>
        <w:t>’</w:t>
      </w:r>
      <w:r w:rsidR="00E66170" w:rsidRPr="007772C4">
        <w:rPr>
          <w:rFonts w:eastAsia="Times New Roman"/>
          <w:lang w:val="fr-FR"/>
        </w:rPr>
        <w:t xml:space="preserve">article 6 </w:t>
      </w:r>
      <w:r w:rsidR="00B91D0D" w:rsidRPr="007772C4">
        <w:rPr>
          <w:rFonts w:eastAsia="Times New Roman"/>
          <w:lang w:val="fr-FR"/>
        </w:rPr>
        <w:t xml:space="preserve">de la Convention </w:t>
      </w:r>
      <w:r w:rsidR="00E66170" w:rsidRPr="007772C4">
        <w:rPr>
          <w:rFonts w:eastAsia="Times New Roman"/>
          <w:lang w:val="fr-FR"/>
        </w:rPr>
        <w:t>(</w:t>
      </w:r>
      <w:proofErr w:type="spellStart"/>
      <w:r w:rsidR="00E66170" w:rsidRPr="007772C4">
        <w:rPr>
          <w:rFonts w:eastAsia="Times New Roman"/>
          <w:i/>
          <w:lang w:val="fr-FR"/>
        </w:rPr>
        <w:t>Gabrielyan</w:t>
      </w:r>
      <w:proofErr w:type="spellEnd"/>
      <w:r w:rsidR="00E66170" w:rsidRPr="007772C4">
        <w:rPr>
          <w:rFonts w:eastAsia="Times New Roman"/>
          <w:lang w:val="fr-FR"/>
        </w:rPr>
        <w:t>, précité, § 81), faute de quoi l</w:t>
      </w:r>
      <w:r w:rsidR="007772C4" w:rsidRPr="007772C4">
        <w:rPr>
          <w:rFonts w:eastAsia="Times New Roman"/>
          <w:lang w:val="fr-FR"/>
        </w:rPr>
        <w:t>’</w:t>
      </w:r>
      <w:r w:rsidR="00E66170" w:rsidRPr="007772C4">
        <w:rPr>
          <w:rFonts w:eastAsia="Times New Roman"/>
          <w:lang w:val="fr-FR"/>
        </w:rPr>
        <w:t>absence du témoin est imputable aux autorités internes (</w:t>
      </w:r>
      <w:proofErr w:type="spellStart"/>
      <w:r w:rsidR="00E66170" w:rsidRPr="007772C4">
        <w:rPr>
          <w:rFonts w:eastAsia="Times New Roman"/>
          <w:i/>
          <w:lang w:val="fr-FR"/>
        </w:rPr>
        <w:t>Tseber</w:t>
      </w:r>
      <w:proofErr w:type="spellEnd"/>
      <w:r w:rsidR="00E66170" w:rsidRPr="007772C4">
        <w:rPr>
          <w:rFonts w:eastAsia="Times New Roman"/>
          <w:lang w:val="fr-FR"/>
        </w:rPr>
        <w:t>, précité, §</w:t>
      </w:r>
      <w:r w:rsidR="0033146B" w:rsidRPr="007772C4">
        <w:rPr>
          <w:rFonts w:eastAsia="Times New Roman"/>
          <w:lang w:val="fr-FR"/>
        </w:rPr>
        <w:t> </w:t>
      </w:r>
      <w:r w:rsidR="00E66170" w:rsidRPr="007772C4">
        <w:rPr>
          <w:rFonts w:eastAsia="Times New Roman"/>
          <w:lang w:val="fr-FR"/>
        </w:rPr>
        <w:t>48</w:t>
      </w:r>
      <w:r w:rsidR="0033146B" w:rsidRPr="007772C4">
        <w:rPr>
          <w:rFonts w:eastAsia="Times New Roman"/>
          <w:i/>
          <w:lang w:val="fr-FR"/>
        </w:rPr>
        <w:t>,</w:t>
      </w:r>
      <w:r w:rsidR="00E66170" w:rsidRPr="007772C4">
        <w:rPr>
          <w:rFonts w:eastAsia="Times New Roman"/>
          <w:i/>
          <w:lang w:val="fr-FR"/>
        </w:rPr>
        <w:t xml:space="preserve"> </w:t>
      </w:r>
      <w:proofErr w:type="spellStart"/>
      <w:r w:rsidR="00E66170" w:rsidRPr="007772C4">
        <w:rPr>
          <w:rFonts w:eastAsia="Times New Roman"/>
          <w:i/>
          <w:lang w:val="fr-FR"/>
        </w:rPr>
        <w:t>Lučić</w:t>
      </w:r>
      <w:proofErr w:type="spellEnd"/>
      <w:r w:rsidR="00E66170" w:rsidRPr="007772C4">
        <w:rPr>
          <w:rFonts w:eastAsia="Times New Roman"/>
          <w:lang w:val="fr-FR"/>
        </w:rPr>
        <w:t>, précité, § 79</w:t>
      </w:r>
      <w:r w:rsidR="0033146B" w:rsidRPr="007772C4">
        <w:rPr>
          <w:rFonts w:eastAsia="Times New Roman"/>
          <w:lang w:val="fr-FR"/>
        </w:rPr>
        <w:t xml:space="preserve">, </w:t>
      </w:r>
      <w:r w:rsidR="00E66170" w:rsidRPr="007772C4">
        <w:rPr>
          <w:rFonts w:eastAsia="Times New Roman"/>
          <w:lang w:val="fr-FR"/>
        </w:rPr>
        <w:t xml:space="preserve">et </w:t>
      </w:r>
      <w:proofErr w:type="spellStart"/>
      <w:r w:rsidR="00E66170" w:rsidRPr="007772C4">
        <w:rPr>
          <w:rFonts w:eastAsia="Times New Roman"/>
          <w:i/>
          <w:lang w:val="fr-FR"/>
        </w:rPr>
        <w:t>Schatschaschwili</w:t>
      </w:r>
      <w:proofErr w:type="spellEnd"/>
      <w:r w:rsidR="00E66170" w:rsidRPr="007772C4">
        <w:rPr>
          <w:rFonts w:eastAsia="Times New Roman"/>
          <w:i/>
          <w:lang w:val="fr-FR"/>
        </w:rPr>
        <w:t>,</w:t>
      </w:r>
      <w:r w:rsidR="00E66170" w:rsidRPr="007772C4">
        <w:rPr>
          <w:rFonts w:eastAsia="Times New Roman"/>
          <w:lang w:val="fr-FR"/>
        </w:rPr>
        <w:t xml:space="preserve"> précité, § 120).</w:t>
      </w:r>
    </w:p>
    <w:p w:rsidR="00E66170" w:rsidRPr="007772C4" w:rsidRDefault="00440CB7" w:rsidP="007772C4">
      <w:pPr>
        <w:pStyle w:val="ECHRPara"/>
        <w:rPr>
          <w:rFonts w:eastAsia="Times New Roman"/>
          <w:lang w:val="fr-FR"/>
        </w:rPr>
      </w:pPr>
      <w:r w:rsidRPr="007772C4">
        <w:rPr>
          <w:rFonts w:eastAsia="Times New Roman"/>
          <w:lang w:val="fr-FR"/>
        </w:rPr>
        <w:fldChar w:fldCharType="begin"/>
      </w:r>
      <w:r w:rsidRPr="007772C4">
        <w:rPr>
          <w:rFonts w:eastAsia="Times New Roman"/>
          <w:lang w:val="fr-FR"/>
        </w:rPr>
        <w:instrText xml:space="preserve"> SEQ level0 \*arabic </w:instrText>
      </w:r>
      <w:r w:rsidRPr="007772C4">
        <w:rPr>
          <w:rFonts w:eastAsia="Times New Roman"/>
          <w:lang w:val="fr-FR"/>
        </w:rPr>
        <w:fldChar w:fldCharType="separate"/>
      </w:r>
      <w:r w:rsidR="007772C4" w:rsidRPr="007772C4">
        <w:rPr>
          <w:rFonts w:eastAsia="Times New Roman"/>
          <w:noProof/>
          <w:lang w:val="fr-FR"/>
        </w:rPr>
        <w:t>44</w:t>
      </w:r>
      <w:r w:rsidRPr="007772C4">
        <w:rPr>
          <w:rFonts w:eastAsia="Times New Roman"/>
          <w:lang w:val="fr-FR"/>
        </w:rPr>
        <w:fldChar w:fldCharType="end"/>
      </w:r>
      <w:r w:rsidRPr="007772C4">
        <w:rPr>
          <w:rFonts w:eastAsia="Times New Roman"/>
          <w:lang w:val="fr-FR"/>
        </w:rPr>
        <w:t>.  </w:t>
      </w:r>
      <w:proofErr w:type="gramStart"/>
      <w:r w:rsidR="00E66170" w:rsidRPr="007772C4">
        <w:rPr>
          <w:rFonts w:eastAsia="Times New Roman"/>
          <w:lang w:val="fr-FR"/>
        </w:rPr>
        <w:t>Pour que les autorités soient considérées comme ayant déployé tous les efforts raisonnables pour assurer la comparution d</w:t>
      </w:r>
      <w:r w:rsidR="007772C4" w:rsidRPr="007772C4">
        <w:rPr>
          <w:rFonts w:eastAsia="Times New Roman"/>
          <w:lang w:val="fr-FR"/>
        </w:rPr>
        <w:t>’</w:t>
      </w:r>
      <w:r w:rsidR="00E66170" w:rsidRPr="007772C4">
        <w:rPr>
          <w:rFonts w:eastAsia="Times New Roman"/>
          <w:lang w:val="fr-FR"/>
        </w:rPr>
        <w:t>un témoin, il faut aussi que les tribunaux internes aient procédé à un contrôle minutieux des raisons données pour justifier l</w:t>
      </w:r>
      <w:r w:rsidR="007772C4" w:rsidRPr="007772C4">
        <w:rPr>
          <w:rFonts w:eastAsia="Times New Roman"/>
          <w:lang w:val="fr-FR"/>
        </w:rPr>
        <w:t>’</w:t>
      </w:r>
      <w:r w:rsidR="00E66170" w:rsidRPr="007772C4">
        <w:rPr>
          <w:rFonts w:eastAsia="Times New Roman"/>
          <w:lang w:val="fr-FR"/>
        </w:rPr>
        <w:t>incapacité du témoin à assister au procès, en tenant compte de la situation particulière de l</w:t>
      </w:r>
      <w:r w:rsidR="007772C4" w:rsidRPr="007772C4">
        <w:rPr>
          <w:rFonts w:eastAsia="Times New Roman"/>
          <w:lang w:val="fr-FR"/>
        </w:rPr>
        <w:t>’</w:t>
      </w:r>
      <w:r w:rsidR="00E66170" w:rsidRPr="007772C4">
        <w:rPr>
          <w:rFonts w:eastAsia="Times New Roman"/>
          <w:lang w:val="fr-FR"/>
        </w:rPr>
        <w:t>intéressé (</w:t>
      </w:r>
      <w:proofErr w:type="spellStart"/>
      <w:r w:rsidR="00E66170" w:rsidRPr="007772C4">
        <w:rPr>
          <w:rFonts w:eastAsia="Times New Roman"/>
          <w:i/>
          <w:lang w:val="fr-FR"/>
        </w:rPr>
        <w:t>Nechto</w:t>
      </w:r>
      <w:proofErr w:type="spellEnd"/>
      <w:r w:rsidR="00E66170" w:rsidRPr="007772C4">
        <w:rPr>
          <w:rFonts w:eastAsia="Times New Roman"/>
          <w:i/>
          <w:lang w:val="fr-FR"/>
        </w:rPr>
        <w:t xml:space="preserve"> c. Russie</w:t>
      </w:r>
      <w:r w:rsidR="00E66170" w:rsidRPr="007772C4">
        <w:rPr>
          <w:rFonts w:eastAsia="Times New Roman"/>
          <w:lang w:val="fr-FR"/>
        </w:rPr>
        <w:t xml:space="preserve">, </w:t>
      </w:r>
      <w:r w:rsidR="00F71AED" w:rsidRPr="007772C4">
        <w:rPr>
          <w:rFonts w:eastAsia="Times New Roman"/>
          <w:lang w:val="fr-FR"/>
        </w:rPr>
        <w:t>n</w:t>
      </w:r>
      <w:r w:rsidR="00615CAA" w:rsidRPr="007772C4">
        <w:rPr>
          <w:rFonts w:eastAsia="Times New Roman"/>
          <w:vertAlign w:val="superscript"/>
          <w:lang w:val="fr-FR"/>
        </w:rPr>
        <w:t>o</w:t>
      </w:r>
      <w:r w:rsidR="003C249B" w:rsidRPr="007772C4">
        <w:rPr>
          <w:rFonts w:eastAsia="Times New Roman"/>
          <w:lang w:val="fr-FR"/>
        </w:rPr>
        <w:t> </w:t>
      </w:r>
      <w:hyperlink r:id="rId24" w:anchor="{&quot;appno&quot;:[&quot;24893/05&quot;]}" w:tgtFrame="_blank" w:history="1">
        <w:r w:rsidR="00E66170" w:rsidRPr="007772C4">
          <w:rPr>
            <w:rFonts w:eastAsia="Times New Roman"/>
            <w:lang w:val="fr-FR"/>
          </w:rPr>
          <w:t>24893/05</w:t>
        </w:r>
      </w:hyperlink>
      <w:r w:rsidR="00E66170" w:rsidRPr="007772C4">
        <w:rPr>
          <w:rFonts w:eastAsia="Times New Roman"/>
          <w:lang w:val="fr-FR"/>
        </w:rPr>
        <w:t>, § 127, 24 janvier 2012</w:t>
      </w:r>
      <w:r w:rsidR="00F71AED" w:rsidRPr="007772C4">
        <w:rPr>
          <w:rFonts w:eastAsia="Times New Roman"/>
          <w:lang w:val="fr-FR"/>
        </w:rPr>
        <w:t>,</w:t>
      </w:r>
      <w:r w:rsidR="00E66170" w:rsidRPr="007772C4">
        <w:rPr>
          <w:rFonts w:eastAsia="Times New Roman"/>
          <w:lang w:val="fr-FR"/>
        </w:rPr>
        <w:t xml:space="preserve"> </w:t>
      </w:r>
      <w:proofErr w:type="spellStart"/>
      <w:r w:rsidR="00E66170" w:rsidRPr="007772C4">
        <w:rPr>
          <w:rFonts w:eastAsia="Times New Roman"/>
          <w:i/>
          <w:lang w:val="fr-FR"/>
        </w:rPr>
        <w:t>Damir</w:t>
      </w:r>
      <w:proofErr w:type="spellEnd"/>
      <w:r w:rsidR="00E66170" w:rsidRPr="007772C4">
        <w:rPr>
          <w:rFonts w:eastAsia="Times New Roman"/>
          <w:i/>
          <w:lang w:val="fr-FR"/>
        </w:rPr>
        <w:t xml:space="preserve"> </w:t>
      </w:r>
      <w:proofErr w:type="spellStart"/>
      <w:r w:rsidR="00E66170" w:rsidRPr="007772C4">
        <w:rPr>
          <w:rFonts w:eastAsia="Times New Roman"/>
          <w:i/>
          <w:lang w:val="fr-FR"/>
        </w:rPr>
        <w:t>Sibgatullin</w:t>
      </w:r>
      <w:proofErr w:type="spellEnd"/>
      <w:r w:rsidR="00E66170" w:rsidRPr="007772C4">
        <w:rPr>
          <w:rFonts w:eastAsia="Times New Roman"/>
          <w:i/>
          <w:lang w:val="fr-FR"/>
        </w:rPr>
        <w:t xml:space="preserve"> c. Russie</w:t>
      </w:r>
      <w:r w:rsidR="00E66170" w:rsidRPr="007772C4">
        <w:rPr>
          <w:rFonts w:eastAsia="Times New Roman"/>
          <w:lang w:val="fr-FR"/>
        </w:rPr>
        <w:t>, n</w:t>
      </w:r>
      <w:r w:rsidR="00615CAA" w:rsidRPr="007772C4">
        <w:rPr>
          <w:rFonts w:eastAsia="Times New Roman"/>
          <w:vertAlign w:val="superscript"/>
          <w:lang w:val="fr-FR"/>
        </w:rPr>
        <w:t>o</w:t>
      </w:r>
      <w:r w:rsidR="00D21185" w:rsidRPr="007772C4">
        <w:rPr>
          <w:rFonts w:eastAsia="Times New Roman"/>
          <w:lang w:val="fr-FR"/>
        </w:rPr>
        <w:t> </w:t>
      </w:r>
      <w:hyperlink r:id="rId25" w:anchor="{&quot;appno&quot;:[&quot;1413/05&quot;]}" w:tgtFrame="_blank" w:history="1">
        <w:r w:rsidR="00E66170" w:rsidRPr="007772C4">
          <w:rPr>
            <w:rFonts w:eastAsia="Times New Roman"/>
            <w:lang w:val="fr-FR"/>
          </w:rPr>
          <w:t>1413/05</w:t>
        </w:r>
      </w:hyperlink>
      <w:r w:rsidR="00E66170" w:rsidRPr="007772C4">
        <w:rPr>
          <w:rFonts w:eastAsia="Times New Roman"/>
          <w:lang w:val="fr-FR"/>
        </w:rPr>
        <w:t>, § 56, 24 avril 2012</w:t>
      </w:r>
      <w:r w:rsidR="00F71AED" w:rsidRPr="007772C4">
        <w:rPr>
          <w:rFonts w:eastAsia="Times New Roman"/>
          <w:lang w:val="fr-FR"/>
        </w:rPr>
        <w:t>,</w:t>
      </w:r>
      <w:r w:rsidR="00E66170" w:rsidRPr="007772C4">
        <w:rPr>
          <w:rFonts w:eastAsia="Times New Roman"/>
          <w:lang w:val="fr-FR"/>
        </w:rPr>
        <w:t xml:space="preserve"> </w:t>
      </w:r>
      <w:proofErr w:type="spellStart"/>
      <w:r w:rsidR="00E66170" w:rsidRPr="007772C4">
        <w:rPr>
          <w:rFonts w:eastAsia="Times New Roman"/>
          <w:i/>
          <w:lang w:val="fr-FR"/>
        </w:rPr>
        <w:t>Yevgeniy</w:t>
      </w:r>
      <w:proofErr w:type="spellEnd"/>
      <w:r w:rsidR="00E66170" w:rsidRPr="007772C4">
        <w:rPr>
          <w:rFonts w:eastAsia="Times New Roman"/>
          <w:i/>
          <w:lang w:val="fr-FR"/>
        </w:rPr>
        <w:t xml:space="preserve"> Ivanov c. Russie</w:t>
      </w:r>
      <w:r w:rsidR="00E66170" w:rsidRPr="007772C4">
        <w:rPr>
          <w:rFonts w:eastAsia="Times New Roman"/>
          <w:lang w:val="fr-FR"/>
        </w:rPr>
        <w:t>, n</w:t>
      </w:r>
      <w:r w:rsidR="00615CAA" w:rsidRPr="007772C4">
        <w:rPr>
          <w:rFonts w:eastAsia="Times New Roman"/>
          <w:vertAlign w:val="superscript"/>
          <w:lang w:val="fr-FR"/>
        </w:rPr>
        <w:t>o</w:t>
      </w:r>
      <w:r w:rsidR="00E66170" w:rsidRPr="007772C4">
        <w:rPr>
          <w:rFonts w:eastAsia="Times New Roman"/>
          <w:lang w:val="fr-FR"/>
        </w:rPr>
        <w:t xml:space="preserve"> </w:t>
      </w:r>
      <w:hyperlink r:id="rId26" w:anchor="{&quot;appno&quot;:[&quot;27100/03&quot;]}" w:tgtFrame="_blank" w:history="1">
        <w:r w:rsidR="00E66170" w:rsidRPr="007772C4">
          <w:rPr>
            <w:rFonts w:eastAsia="Times New Roman"/>
            <w:lang w:val="fr-FR"/>
          </w:rPr>
          <w:t>27100/03</w:t>
        </w:r>
      </w:hyperlink>
      <w:r w:rsidR="00D21185" w:rsidRPr="007772C4">
        <w:rPr>
          <w:rFonts w:eastAsia="Times New Roman"/>
          <w:lang w:val="fr-FR"/>
        </w:rPr>
        <w:t>, § </w:t>
      </w:r>
      <w:r w:rsidR="00E66170" w:rsidRPr="007772C4">
        <w:rPr>
          <w:rFonts w:eastAsia="Times New Roman"/>
          <w:lang w:val="fr-FR"/>
        </w:rPr>
        <w:t>47, 25 avril 2013</w:t>
      </w:r>
      <w:r w:rsidR="00F71AED" w:rsidRPr="007772C4">
        <w:rPr>
          <w:rFonts w:eastAsia="Times New Roman"/>
          <w:lang w:val="fr-FR"/>
        </w:rPr>
        <w:t>,</w:t>
      </w:r>
      <w:r w:rsidR="00E66170" w:rsidRPr="007772C4">
        <w:rPr>
          <w:rFonts w:eastAsia="Times New Roman"/>
          <w:lang w:val="fr-FR"/>
        </w:rPr>
        <w:t xml:space="preserve"> et </w:t>
      </w:r>
      <w:proofErr w:type="spellStart"/>
      <w:r w:rsidR="00E66170" w:rsidRPr="007772C4">
        <w:rPr>
          <w:rFonts w:eastAsia="Times New Roman"/>
          <w:i/>
          <w:lang w:val="fr-FR"/>
        </w:rPr>
        <w:t>Schatschaschwili</w:t>
      </w:r>
      <w:proofErr w:type="spellEnd"/>
      <w:r w:rsidR="00E66170" w:rsidRPr="007772C4">
        <w:rPr>
          <w:rFonts w:eastAsia="Times New Roman"/>
          <w:i/>
          <w:lang w:val="fr-FR"/>
        </w:rPr>
        <w:t>,</w:t>
      </w:r>
      <w:r w:rsidR="00E66170" w:rsidRPr="007772C4">
        <w:rPr>
          <w:rFonts w:eastAsia="Times New Roman"/>
          <w:lang w:val="fr-FR"/>
        </w:rPr>
        <w:t xml:space="preserve"> précité, § 122).</w:t>
      </w:r>
      <w:proofErr w:type="gramEnd"/>
    </w:p>
    <w:p w:rsidR="007D6D21" w:rsidRPr="007772C4" w:rsidRDefault="00440CB7" w:rsidP="007772C4">
      <w:pPr>
        <w:pStyle w:val="ECHRPara"/>
        <w:rPr>
          <w:rFonts w:eastAsia="Times New Roman"/>
          <w:lang w:val="fr-FR"/>
        </w:rPr>
      </w:pPr>
      <w:r w:rsidRPr="007772C4">
        <w:rPr>
          <w:rFonts w:eastAsia="Times New Roman"/>
          <w:lang w:val="fr-FR"/>
        </w:rPr>
        <w:fldChar w:fldCharType="begin"/>
      </w:r>
      <w:r w:rsidRPr="007772C4">
        <w:rPr>
          <w:rFonts w:eastAsia="Times New Roman"/>
          <w:lang w:val="fr-FR"/>
        </w:rPr>
        <w:instrText xml:space="preserve"> SEQ level0 \*arabic </w:instrText>
      </w:r>
      <w:r w:rsidRPr="007772C4">
        <w:rPr>
          <w:rFonts w:eastAsia="Times New Roman"/>
          <w:lang w:val="fr-FR"/>
        </w:rPr>
        <w:fldChar w:fldCharType="separate"/>
      </w:r>
      <w:r w:rsidR="007772C4" w:rsidRPr="007772C4">
        <w:rPr>
          <w:rFonts w:eastAsia="Times New Roman"/>
          <w:noProof/>
          <w:lang w:val="fr-FR"/>
        </w:rPr>
        <w:t>45</w:t>
      </w:r>
      <w:r w:rsidRPr="007772C4">
        <w:rPr>
          <w:rFonts w:eastAsia="Times New Roman"/>
          <w:lang w:val="fr-FR"/>
        </w:rPr>
        <w:fldChar w:fldCharType="end"/>
      </w:r>
      <w:r w:rsidRPr="007772C4">
        <w:rPr>
          <w:rFonts w:eastAsia="Times New Roman"/>
          <w:lang w:val="fr-FR"/>
        </w:rPr>
        <w:t>.  </w:t>
      </w:r>
      <w:r w:rsidR="00E66170" w:rsidRPr="007772C4">
        <w:rPr>
          <w:rFonts w:eastAsia="Times New Roman"/>
          <w:lang w:val="fr-FR"/>
        </w:rPr>
        <w:t>Force est de constater qu</w:t>
      </w:r>
      <w:r w:rsidR="00F71AED" w:rsidRPr="007772C4">
        <w:rPr>
          <w:rFonts w:eastAsia="Times New Roman"/>
          <w:lang w:val="fr-FR"/>
        </w:rPr>
        <w:t xml:space="preserve">e, </w:t>
      </w:r>
      <w:r w:rsidR="00E66170" w:rsidRPr="007772C4">
        <w:rPr>
          <w:rFonts w:eastAsia="Times New Roman"/>
          <w:lang w:val="fr-FR"/>
        </w:rPr>
        <w:t>en l</w:t>
      </w:r>
      <w:r w:rsidR="007772C4" w:rsidRPr="007772C4">
        <w:rPr>
          <w:rFonts w:eastAsia="Times New Roman"/>
          <w:lang w:val="fr-FR"/>
        </w:rPr>
        <w:t>’</w:t>
      </w:r>
      <w:r w:rsidR="00E66170" w:rsidRPr="007772C4">
        <w:rPr>
          <w:rFonts w:eastAsia="Times New Roman"/>
          <w:lang w:val="fr-FR"/>
        </w:rPr>
        <w:t>espèce</w:t>
      </w:r>
      <w:r w:rsidR="00F71AED" w:rsidRPr="007772C4">
        <w:rPr>
          <w:rFonts w:eastAsia="Times New Roman"/>
          <w:lang w:val="fr-FR"/>
        </w:rPr>
        <w:t>,</w:t>
      </w:r>
      <w:r w:rsidR="00E66170" w:rsidRPr="007772C4">
        <w:rPr>
          <w:rFonts w:eastAsia="Times New Roman"/>
          <w:lang w:val="fr-FR"/>
        </w:rPr>
        <w:t xml:space="preserve"> les tribunaux </w:t>
      </w:r>
      <w:r w:rsidR="00F71AED" w:rsidRPr="007772C4">
        <w:rPr>
          <w:rFonts w:eastAsia="Times New Roman"/>
          <w:lang w:val="fr-FR"/>
        </w:rPr>
        <w:t xml:space="preserve">internes </w:t>
      </w:r>
      <w:r w:rsidR="00E66170" w:rsidRPr="007772C4">
        <w:rPr>
          <w:rFonts w:eastAsia="Times New Roman"/>
          <w:lang w:val="fr-FR"/>
        </w:rPr>
        <w:t>se sont bornés à indiquer que l</w:t>
      </w:r>
      <w:r w:rsidR="007772C4" w:rsidRPr="007772C4">
        <w:rPr>
          <w:rFonts w:eastAsia="Times New Roman"/>
          <w:lang w:val="fr-FR"/>
        </w:rPr>
        <w:t>’</w:t>
      </w:r>
      <w:r w:rsidR="00E66170" w:rsidRPr="007772C4">
        <w:rPr>
          <w:rFonts w:eastAsia="Times New Roman"/>
          <w:lang w:val="fr-FR"/>
        </w:rPr>
        <w:t xml:space="preserve">absence de </w:t>
      </w:r>
      <w:r w:rsidR="00CC0416" w:rsidRPr="007772C4">
        <w:rPr>
          <w:rFonts w:eastAsia="Times New Roman"/>
          <w:lang w:val="fr-FR"/>
        </w:rPr>
        <w:t>C.C.</w:t>
      </w:r>
      <w:r w:rsidR="00E66170" w:rsidRPr="007772C4">
        <w:rPr>
          <w:rFonts w:eastAsia="Times New Roman"/>
          <w:lang w:val="fr-FR"/>
        </w:rPr>
        <w:t xml:space="preserve"> n</w:t>
      </w:r>
      <w:r w:rsidR="007772C4" w:rsidRPr="007772C4">
        <w:rPr>
          <w:rFonts w:eastAsia="Times New Roman"/>
          <w:lang w:val="fr-FR"/>
        </w:rPr>
        <w:t>’</w:t>
      </w:r>
      <w:r w:rsidR="00E66170" w:rsidRPr="007772C4">
        <w:rPr>
          <w:rFonts w:eastAsia="Times New Roman"/>
          <w:lang w:val="fr-FR"/>
        </w:rPr>
        <w:t xml:space="preserve">était pas prévisible et que les recherches </w:t>
      </w:r>
      <w:r w:rsidR="00F71AED" w:rsidRPr="007772C4">
        <w:rPr>
          <w:rFonts w:eastAsia="Times New Roman"/>
          <w:lang w:val="fr-FR"/>
        </w:rPr>
        <w:t>menées pour le retrouver</w:t>
      </w:r>
      <w:r w:rsidR="00E66170" w:rsidRPr="007772C4">
        <w:rPr>
          <w:rFonts w:eastAsia="Times New Roman"/>
          <w:lang w:val="fr-FR"/>
        </w:rPr>
        <w:t xml:space="preserve"> avaient été vaines (paragraphes </w:t>
      </w:r>
      <w:r w:rsidR="002C3D15" w:rsidRPr="007772C4">
        <w:rPr>
          <w:rFonts w:eastAsia="Times New Roman"/>
          <w:lang w:val="fr-FR"/>
        </w:rPr>
        <w:fldChar w:fldCharType="begin"/>
      </w:r>
      <w:r w:rsidR="002C3D15" w:rsidRPr="007772C4">
        <w:rPr>
          <w:rFonts w:eastAsia="Times New Roman"/>
          <w:lang w:val="fr-FR"/>
        </w:rPr>
        <w:instrText xml:space="preserve"> REF par10 \h </w:instrText>
      </w:r>
      <w:r w:rsidR="00F34FBC" w:rsidRPr="007772C4">
        <w:rPr>
          <w:rFonts w:eastAsia="Times New Roman"/>
          <w:lang w:val="fr-FR"/>
        </w:rPr>
        <w:instrText xml:space="preserve"> \* MERGEFORMAT </w:instrText>
      </w:r>
      <w:r w:rsidR="002C3D15" w:rsidRPr="007772C4">
        <w:rPr>
          <w:rFonts w:eastAsia="Times New Roman"/>
          <w:lang w:val="fr-FR"/>
        </w:rPr>
      </w:r>
      <w:r w:rsidR="002C3D15" w:rsidRPr="007772C4">
        <w:rPr>
          <w:rFonts w:eastAsia="Times New Roman"/>
          <w:lang w:val="fr-FR"/>
        </w:rPr>
        <w:fldChar w:fldCharType="separate"/>
      </w:r>
      <w:r w:rsidR="007772C4" w:rsidRPr="007772C4">
        <w:rPr>
          <w:noProof/>
          <w:lang w:val="fr-FR"/>
        </w:rPr>
        <w:t>10</w:t>
      </w:r>
      <w:r w:rsidR="002C3D15" w:rsidRPr="007772C4">
        <w:rPr>
          <w:rFonts w:eastAsia="Times New Roman"/>
          <w:lang w:val="fr-FR"/>
        </w:rPr>
        <w:fldChar w:fldCharType="end"/>
      </w:r>
      <w:r w:rsidR="00F71AED" w:rsidRPr="007772C4">
        <w:rPr>
          <w:rFonts w:eastAsia="Times New Roman"/>
          <w:lang w:val="fr-FR"/>
        </w:rPr>
        <w:t>,</w:t>
      </w:r>
      <w:r w:rsidR="00E66170" w:rsidRPr="007772C4">
        <w:rPr>
          <w:rFonts w:eastAsia="Times New Roman"/>
          <w:lang w:val="fr-FR"/>
        </w:rPr>
        <w:t xml:space="preserve"> </w:t>
      </w:r>
      <w:r w:rsidR="002C3D15" w:rsidRPr="007772C4">
        <w:rPr>
          <w:rFonts w:eastAsia="Times New Roman"/>
          <w:lang w:val="fr-FR"/>
        </w:rPr>
        <w:fldChar w:fldCharType="begin"/>
      </w:r>
      <w:r w:rsidR="002C3D15" w:rsidRPr="007772C4">
        <w:rPr>
          <w:rFonts w:eastAsia="Times New Roman"/>
          <w:lang w:val="fr-FR"/>
        </w:rPr>
        <w:instrText xml:space="preserve"> REF par12 \h </w:instrText>
      </w:r>
      <w:r w:rsidR="00F34FBC" w:rsidRPr="007772C4">
        <w:rPr>
          <w:rFonts w:eastAsia="Times New Roman"/>
          <w:lang w:val="fr-FR"/>
        </w:rPr>
        <w:instrText xml:space="preserve"> \* MERGEFORMAT </w:instrText>
      </w:r>
      <w:r w:rsidR="002C3D15" w:rsidRPr="007772C4">
        <w:rPr>
          <w:rFonts w:eastAsia="Times New Roman"/>
          <w:lang w:val="fr-FR"/>
        </w:rPr>
      </w:r>
      <w:r w:rsidR="002C3D15" w:rsidRPr="007772C4">
        <w:rPr>
          <w:rFonts w:eastAsia="Times New Roman"/>
          <w:lang w:val="fr-FR"/>
        </w:rPr>
        <w:fldChar w:fldCharType="separate"/>
      </w:r>
      <w:r w:rsidR="007772C4" w:rsidRPr="007772C4">
        <w:rPr>
          <w:noProof/>
          <w:lang w:val="fr-FR"/>
        </w:rPr>
        <w:t>12</w:t>
      </w:r>
      <w:r w:rsidR="002C3D15" w:rsidRPr="007772C4">
        <w:rPr>
          <w:rFonts w:eastAsia="Times New Roman"/>
          <w:lang w:val="fr-FR"/>
        </w:rPr>
        <w:fldChar w:fldCharType="end"/>
      </w:r>
      <w:r w:rsidR="002C3D15" w:rsidRPr="007772C4">
        <w:rPr>
          <w:rFonts w:eastAsia="Times New Roman"/>
          <w:lang w:val="fr-FR"/>
        </w:rPr>
        <w:t xml:space="preserve"> </w:t>
      </w:r>
      <w:r w:rsidR="00E66170" w:rsidRPr="007772C4">
        <w:rPr>
          <w:rFonts w:eastAsia="Times New Roman"/>
          <w:lang w:val="fr-FR"/>
        </w:rPr>
        <w:t>et</w:t>
      </w:r>
      <w:r w:rsidR="007772C4" w:rsidRPr="007772C4">
        <w:rPr>
          <w:rFonts w:eastAsia="Times New Roman"/>
          <w:lang w:val="fr-FR"/>
        </w:rPr>
        <w:t> </w:t>
      </w:r>
      <w:r w:rsidR="002C3D15" w:rsidRPr="007772C4">
        <w:rPr>
          <w:rFonts w:eastAsia="Times New Roman"/>
          <w:lang w:val="fr-FR"/>
        </w:rPr>
        <w:fldChar w:fldCharType="begin"/>
      </w:r>
      <w:r w:rsidR="002C3D15" w:rsidRPr="007772C4">
        <w:rPr>
          <w:rFonts w:eastAsia="Times New Roman"/>
          <w:lang w:val="fr-FR"/>
        </w:rPr>
        <w:instrText xml:space="preserve"> REF par17 \h </w:instrText>
      </w:r>
      <w:r w:rsidR="00F34FBC" w:rsidRPr="007772C4">
        <w:rPr>
          <w:rFonts w:eastAsia="Times New Roman"/>
          <w:lang w:val="fr-FR"/>
        </w:rPr>
        <w:instrText xml:space="preserve"> \* MERGEFORMAT </w:instrText>
      </w:r>
      <w:r w:rsidR="002C3D15" w:rsidRPr="007772C4">
        <w:rPr>
          <w:rFonts w:eastAsia="Times New Roman"/>
          <w:lang w:val="fr-FR"/>
        </w:rPr>
      </w:r>
      <w:r w:rsidR="002C3D15" w:rsidRPr="007772C4">
        <w:rPr>
          <w:rFonts w:eastAsia="Times New Roman"/>
          <w:lang w:val="fr-FR"/>
        </w:rPr>
        <w:fldChar w:fldCharType="separate"/>
      </w:r>
      <w:r w:rsidR="007772C4" w:rsidRPr="007772C4">
        <w:rPr>
          <w:noProof/>
          <w:lang w:val="fr-FR"/>
        </w:rPr>
        <w:t>17</w:t>
      </w:r>
      <w:r w:rsidR="002C3D15" w:rsidRPr="007772C4">
        <w:rPr>
          <w:rFonts w:eastAsia="Times New Roman"/>
          <w:lang w:val="fr-FR"/>
        </w:rPr>
        <w:fldChar w:fldCharType="end"/>
      </w:r>
      <w:r w:rsidR="002C3D15" w:rsidRPr="007772C4">
        <w:rPr>
          <w:rFonts w:eastAsia="Times New Roman"/>
          <w:lang w:val="fr-FR"/>
        </w:rPr>
        <w:t xml:space="preserve"> </w:t>
      </w:r>
      <w:r w:rsidR="00E66170" w:rsidRPr="007772C4">
        <w:rPr>
          <w:rFonts w:eastAsia="Times New Roman"/>
          <w:lang w:val="fr-FR"/>
        </w:rPr>
        <w:t>ci-dessus). L</w:t>
      </w:r>
      <w:r w:rsidRPr="007772C4">
        <w:rPr>
          <w:rFonts w:eastAsia="Times New Roman"/>
          <w:lang w:val="fr-FR"/>
        </w:rPr>
        <w:t>e</w:t>
      </w:r>
      <w:r w:rsidR="00E66170" w:rsidRPr="007772C4">
        <w:rPr>
          <w:rFonts w:eastAsia="Times New Roman"/>
          <w:lang w:val="fr-FR"/>
        </w:rPr>
        <w:t xml:space="preserve"> </w:t>
      </w:r>
      <w:r w:rsidR="00CC0416" w:rsidRPr="007772C4">
        <w:rPr>
          <w:rFonts w:eastAsia="Times New Roman"/>
          <w:lang w:val="fr-FR"/>
        </w:rPr>
        <w:t>tribunal a</w:t>
      </w:r>
      <w:r w:rsidR="00E66170" w:rsidRPr="007772C4">
        <w:rPr>
          <w:rFonts w:eastAsia="Times New Roman"/>
          <w:lang w:val="fr-FR"/>
        </w:rPr>
        <w:t xml:space="preserve"> exclu la possibilité d</w:t>
      </w:r>
      <w:r w:rsidR="007772C4" w:rsidRPr="007772C4">
        <w:rPr>
          <w:rFonts w:eastAsia="Times New Roman"/>
          <w:lang w:val="fr-FR"/>
        </w:rPr>
        <w:t>’</w:t>
      </w:r>
      <w:r w:rsidR="00E66170" w:rsidRPr="007772C4">
        <w:rPr>
          <w:rFonts w:eastAsia="Times New Roman"/>
          <w:lang w:val="fr-FR"/>
        </w:rPr>
        <w:t xml:space="preserve">effectuer des recherches </w:t>
      </w:r>
      <w:r w:rsidR="00E95ED5" w:rsidRPr="007772C4">
        <w:rPr>
          <w:rFonts w:eastAsia="Times New Roman"/>
          <w:lang w:val="fr-FR"/>
        </w:rPr>
        <w:t>supplémentaires</w:t>
      </w:r>
      <w:r w:rsidR="007D6D21" w:rsidRPr="007772C4">
        <w:rPr>
          <w:rFonts w:eastAsia="Times New Roman"/>
          <w:lang w:val="fr-FR"/>
        </w:rPr>
        <w:t xml:space="preserve">. </w:t>
      </w:r>
      <w:r w:rsidR="00A31916" w:rsidRPr="007772C4">
        <w:rPr>
          <w:rFonts w:eastAsia="Times New Roman"/>
          <w:lang w:val="fr-FR"/>
        </w:rPr>
        <w:t>E</w:t>
      </w:r>
      <w:r w:rsidR="007D6D21" w:rsidRPr="007772C4">
        <w:rPr>
          <w:rFonts w:eastAsia="Times New Roman"/>
          <w:lang w:val="fr-FR"/>
        </w:rPr>
        <w:t xml:space="preserve">n 1997 et </w:t>
      </w:r>
      <w:r w:rsidR="00F71AED" w:rsidRPr="007772C4">
        <w:rPr>
          <w:rFonts w:eastAsia="Times New Roman"/>
          <w:lang w:val="fr-FR"/>
        </w:rPr>
        <w:t xml:space="preserve">en </w:t>
      </w:r>
      <w:r w:rsidR="007D6D21" w:rsidRPr="007772C4">
        <w:rPr>
          <w:rFonts w:eastAsia="Times New Roman"/>
          <w:lang w:val="fr-FR"/>
        </w:rPr>
        <w:t>1998</w:t>
      </w:r>
      <w:r w:rsidR="00F71AED" w:rsidRPr="007772C4">
        <w:rPr>
          <w:rFonts w:eastAsia="Times New Roman"/>
          <w:lang w:val="fr-FR"/>
        </w:rPr>
        <w:t>,</w:t>
      </w:r>
      <w:r w:rsidR="007D6D21" w:rsidRPr="007772C4">
        <w:rPr>
          <w:rFonts w:eastAsia="Times New Roman"/>
          <w:lang w:val="fr-FR"/>
        </w:rPr>
        <w:t xml:space="preserve"> </w:t>
      </w:r>
      <w:r w:rsidR="003C249B" w:rsidRPr="007772C4">
        <w:rPr>
          <w:rFonts w:eastAsia="Times New Roman"/>
          <w:lang w:val="fr-FR"/>
        </w:rPr>
        <w:t>C.C.</w:t>
      </w:r>
      <w:r w:rsidR="007D6D21" w:rsidRPr="007772C4">
        <w:rPr>
          <w:rFonts w:eastAsia="Times New Roman"/>
          <w:lang w:val="fr-FR"/>
        </w:rPr>
        <w:t xml:space="preserve"> </w:t>
      </w:r>
      <w:r w:rsidR="00F71AED" w:rsidRPr="007772C4">
        <w:rPr>
          <w:rFonts w:eastAsia="Times New Roman"/>
          <w:lang w:val="fr-FR"/>
        </w:rPr>
        <w:t xml:space="preserve">a été cité </w:t>
      </w:r>
      <w:r w:rsidR="002C3D15" w:rsidRPr="007772C4">
        <w:rPr>
          <w:rFonts w:eastAsia="Times New Roman"/>
          <w:lang w:val="fr-FR"/>
        </w:rPr>
        <w:t>à compara</w:t>
      </w:r>
      <w:r w:rsidR="00C36339" w:rsidRPr="007772C4">
        <w:rPr>
          <w:rFonts w:eastAsia="Times New Roman"/>
          <w:lang w:val="fr-FR"/>
        </w:rPr>
        <w:t>î</w:t>
      </w:r>
      <w:r w:rsidR="002C3D15" w:rsidRPr="007772C4">
        <w:rPr>
          <w:rFonts w:eastAsia="Times New Roman"/>
          <w:lang w:val="fr-FR"/>
        </w:rPr>
        <w:t>tre</w:t>
      </w:r>
      <w:r w:rsidR="007D6D21" w:rsidRPr="007772C4">
        <w:rPr>
          <w:rFonts w:eastAsia="Times New Roman"/>
          <w:lang w:val="fr-FR"/>
        </w:rPr>
        <w:t xml:space="preserve"> </w:t>
      </w:r>
      <w:r w:rsidR="003C249B" w:rsidRPr="007772C4">
        <w:rPr>
          <w:rFonts w:eastAsia="Times New Roman"/>
          <w:lang w:val="fr-FR"/>
        </w:rPr>
        <w:t>en vue de la tenue d</w:t>
      </w:r>
      <w:r w:rsidR="007772C4" w:rsidRPr="007772C4">
        <w:rPr>
          <w:rFonts w:eastAsia="Times New Roman"/>
          <w:lang w:val="fr-FR"/>
        </w:rPr>
        <w:t>’</w:t>
      </w:r>
      <w:r w:rsidR="003C249B" w:rsidRPr="007772C4">
        <w:rPr>
          <w:rFonts w:eastAsia="Times New Roman"/>
          <w:lang w:val="fr-FR"/>
        </w:rPr>
        <w:t xml:space="preserve">une </w:t>
      </w:r>
      <w:r w:rsidR="007D6D21" w:rsidRPr="007772C4">
        <w:rPr>
          <w:rFonts w:eastAsia="Times New Roman"/>
          <w:lang w:val="fr-FR"/>
        </w:rPr>
        <w:t xml:space="preserve">audience </w:t>
      </w:r>
      <w:r w:rsidR="007D6D21" w:rsidRPr="007772C4">
        <w:rPr>
          <w:rFonts w:eastAsia="Times New Roman"/>
          <w:i/>
          <w:lang w:val="fr-FR"/>
        </w:rPr>
        <w:t>ad hoc</w:t>
      </w:r>
      <w:r w:rsidR="00A83D85" w:rsidRPr="007772C4">
        <w:rPr>
          <w:rFonts w:eastAsia="Times New Roman"/>
          <w:i/>
          <w:lang w:val="fr-FR"/>
        </w:rPr>
        <w:t xml:space="preserve"> </w:t>
      </w:r>
      <w:r w:rsidR="003C249B" w:rsidRPr="007772C4">
        <w:rPr>
          <w:rFonts w:eastAsia="Times New Roman"/>
          <w:lang w:val="fr-FR"/>
        </w:rPr>
        <w:t>destinée à</w:t>
      </w:r>
      <w:r w:rsidR="007D6D21" w:rsidRPr="007772C4">
        <w:rPr>
          <w:rFonts w:eastAsia="Times New Roman"/>
          <w:lang w:val="fr-FR"/>
        </w:rPr>
        <w:t xml:space="preserve"> </w:t>
      </w:r>
      <w:r w:rsidR="00B84371" w:rsidRPr="007772C4">
        <w:rPr>
          <w:rFonts w:eastAsia="Times New Roman"/>
          <w:lang w:val="fr-FR"/>
        </w:rPr>
        <w:t>recueillir</w:t>
      </w:r>
      <w:r w:rsidR="007D6D21" w:rsidRPr="007772C4">
        <w:rPr>
          <w:rFonts w:eastAsia="Times New Roman"/>
          <w:lang w:val="fr-FR"/>
        </w:rPr>
        <w:t xml:space="preserve"> son </w:t>
      </w:r>
      <w:r w:rsidR="00B84371" w:rsidRPr="007772C4">
        <w:rPr>
          <w:rFonts w:eastAsia="Times New Roman"/>
          <w:lang w:val="fr-FR"/>
        </w:rPr>
        <w:t>témoignage</w:t>
      </w:r>
      <w:r w:rsidR="007D6D21" w:rsidRPr="007772C4">
        <w:rPr>
          <w:rFonts w:eastAsia="Times New Roman"/>
          <w:lang w:val="fr-FR"/>
        </w:rPr>
        <w:t xml:space="preserve"> </w:t>
      </w:r>
      <w:r w:rsidR="00B84371" w:rsidRPr="007772C4">
        <w:rPr>
          <w:rFonts w:eastAsia="Times New Roman"/>
          <w:lang w:val="fr-FR"/>
        </w:rPr>
        <w:t xml:space="preserve">et </w:t>
      </w:r>
      <w:r w:rsidR="002C3D15" w:rsidRPr="007772C4">
        <w:rPr>
          <w:rFonts w:eastAsia="Times New Roman"/>
          <w:lang w:val="fr-FR"/>
        </w:rPr>
        <w:t>à</w:t>
      </w:r>
      <w:r w:rsidR="00B84371" w:rsidRPr="007772C4">
        <w:rPr>
          <w:rFonts w:eastAsia="Times New Roman"/>
          <w:lang w:val="fr-FR"/>
        </w:rPr>
        <w:t xml:space="preserve"> effectuer une reconnaissance du requérant. </w:t>
      </w:r>
      <w:r w:rsidR="00A31916" w:rsidRPr="007772C4">
        <w:rPr>
          <w:rFonts w:eastAsia="Times New Roman"/>
          <w:lang w:val="fr-FR"/>
        </w:rPr>
        <w:t>Il</w:t>
      </w:r>
      <w:r w:rsidR="00E95ED5" w:rsidRPr="007772C4">
        <w:rPr>
          <w:rFonts w:eastAsia="Times New Roman"/>
          <w:lang w:val="fr-FR"/>
        </w:rPr>
        <w:t xml:space="preserve"> ne s</w:t>
      </w:r>
      <w:r w:rsidR="007772C4" w:rsidRPr="007772C4">
        <w:rPr>
          <w:rFonts w:eastAsia="Times New Roman"/>
          <w:lang w:val="fr-FR"/>
        </w:rPr>
        <w:t>’</w:t>
      </w:r>
      <w:r w:rsidR="00E95ED5" w:rsidRPr="007772C4">
        <w:rPr>
          <w:rFonts w:eastAsia="Times New Roman"/>
          <w:lang w:val="fr-FR"/>
        </w:rPr>
        <w:t>est présenté qu</w:t>
      </w:r>
      <w:r w:rsidR="007772C4" w:rsidRPr="007772C4">
        <w:rPr>
          <w:rFonts w:eastAsia="Times New Roman"/>
          <w:lang w:val="fr-FR"/>
        </w:rPr>
        <w:t>’</w:t>
      </w:r>
      <w:r w:rsidR="00B22DFB" w:rsidRPr="007772C4">
        <w:rPr>
          <w:rFonts w:eastAsia="Times New Roman"/>
          <w:lang w:val="fr-FR"/>
        </w:rPr>
        <w:t>à</w:t>
      </w:r>
      <w:r w:rsidR="00B84371" w:rsidRPr="007772C4">
        <w:rPr>
          <w:rFonts w:eastAsia="Times New Roman"/>
          <w:lang w:val="fr-FR"/>
        </w:rPr>
        <w:t xml:space="preserve"> une seule </w:t>
      </w:r>
      <w:r w:rsidR="002C3D15" w:rsidRPr="007772C4">
        <w:rPr>
          <w:rFonts w:eastAsia="Times New Roman"/>
          <w:lang w:val="fr-FR"/>
        </w:rPr>
        <w:t>audience</w:t>
      </w:r>
      <w:r w:rsidR="00B84371" w:rsidRPr="007772C4">
        <w:rPr>
          <w:rFonts w:eastAsia="Times New Roman"/>
          <w:lang w:val="fr-FR"/>
        </w:rPr>
        <w:t xml:space="preserve"> </w:t>
      </w:r>
      <w:r w:rsidR="00B22DFB" w:rsidRPr="007772C4">
        <w:rPr>
          <w:rFonts w:eastAsia="Times New Roman"/>
          <w:i/>
          <w:lang w:val="fr-FR"/>
        </w:rPr>
        <w:t>ad hoc</w:t>
      </w:r>
      <w:r w:rsidR="008651C4" w:rsidRPr="007772C4">
        <w:rPr>
          <w:rFonts w:eastAsia="Times New Roman"/>
          <w:lang w:val="fr-FR"/>
        </w:rPr>
        <w:t>, laquelle a été</w:t>
      </w:r>
      <w:r w:rsidR="00B22DFB" w:rsidRPr="007772C4">
        <w:rPr>
          <w:rFonts w:eastAsia="Times New Roman"/>
          <w:lang w:val="fr-FR"/>
        </w:rPr>
        <w:t xml:space="preserve"> </w:t>
      </w:r>
      <w:r w:rsidR="00B84371" w:rsidRPr="007772C4">
        <w:rPr>
          <w:rFonts w:eastAsia="Times New Roman"/>
          <w:lang w:val="fr-FR"/>
        </w:rPr>
        <w:t>reportée en raison d</w:t>
      </w:r>
      <w:r w:rsidR="00B22DFB" w:rsidRPr="007772C4">
        <w:rPr>
          <w:rFonts w:eastAsia="Times New Roman"/>
          <w:lang w:val="fr-FR"/>
        </w:rPr>
        <w:t>e</w:t>
      </w:r>
      <w:r w:rsidR="00B84371" w:rsidRPr="007772C4">
        <w:rPr>
          <w:rFonts w:eastAsia="Times New Roman"/>
          <w:lang w:val="fr-FR"/>
        </w:rPr>
        <w:t xml:space="preserve"> </w:t>
      </w:r>
      <w:r w:rsidR="002C3D15" w:rsidRPr="007772C4">
        <w:rPr>
          <w:rFonts w:eastAsia="Times New Roman"/>
          <w:lang w:val="fr-FR"/>
        </w:rPr>
        <w:t>l</w:t>
      </w:r>
      <w:r w:rsidR="007772C4" w:rsidRPr="007772C4">
        <w:rPr>
          <w:rFonts w:eastAsia="Times New Roman"/>
          <w:lang w:val="fr-FR"/>
        </w:rPr>
        <w:t>’</w:t>
      </w:r>
      <w:r w:rsidR="002C3D15" w:rsidRPr="007772C4">
        <w:rPr>
          <w:rFonts w:eastAsia="Times New Roman"/>
          <w:lang w:val="fr-FR"/>
        </w:rPr>
        <w:t>absence</w:t>
      </w:r>
      <w:r w:rsidR="00B84371" w:rsidRPr="007772C4">
        <w:rPr>
          <w:rFonts w:eastAsia="Times New Roman"/>
          <w:lang w:val="fr-FR"/>
        </w:rPr>
        <w:t xml:space="preserve"> du </w:t>
      </w:r>
      <w:r w:rsidR="006945A3" w:rsidRPr="007772C4">
        <w:rPr>
          <w:rFonts w:eastAsia="Times New Roman"/>
          <w:lang w:val="fr-FR"/>
        </w:rPr>
        <w:t>substitut du procureur</w:t>
      </w:r>
      <w:r w:rsidR="00B84371" w:rsidRPr="007772C4">
        <w:rPr>
          <w:rFonts w:eastAsia="Times New Roman"/>
          <w:lang w:val="fr-FR"/>
        </w:rPr>
        <w:t>. Ensuite</w:t>
      </w:r>
      <w:r w:rsidR="00A83D85" w:rsidRPr="007772C4">
        <w:rPr>
          <w:rFonts w:eastAsia="Times New Roman"/>
          <w:lang w:val="fr-FR"/>
        </w:rPr>
        <w:t>,</w:t>
      </w:r>
      <w:r w:rsidR="00B84371" w:rsidRPr="007772C4">
        <w:rPr>
          <w:rFonts w:eastAsia="Times New Roman"/>
          <w:lang w:val="fr-FR"/>
        </w:rPr>
        <w:t xml:space="preserve"> </w:t>
      </w:r>
      <w:r w:rsidR="00A83D85" w:rsidRPr="007772C4">
        <w:rPr>
          <w:rFonts w:eastAsia="Times New Roman"/>
          <w:lang w:val="fr-FR"/>
        </w:rPr>
        <w:t>à l</w:t>
      </w:r>
      <w:r w:rsidR="007772C4" w:rsidRPr="007772C4">
        <w:rPr>
          <w:rFonts w:eastAsia="Times New Roman"/>
          <w:lang w:val="fr-FR"/>
        </w:rPr>
        <w:t>’</w:t>
      </w:r>
      <w:r w:rsidR="00A83D85" w:rsidRPr="007772C4">
        <w:rPr>
          <w:rFonts w:eastAsia="Times New Roman"/>
          <w:lang w:val="fr-FR"/>
        </w:rPr>
        <w:t xml:space="preserve">audience du </w:t>
      </w:r>
      <w:r w:rsidR="002C3D15" w:rsidRPr="007772C4">
        <w:rPr>
          <w:lang w:val="fr-FR"/>
        </w:rPr>
        <w:t>22 </w:t>
      </w:r>
      <w:r w:rsidR="00B84371" w:rsidRPr="007772C4">
        <w:rPr>
          <w:lang w:val="fr-FR"/>
        </w:rPr>
        <w:t xml:space="preserve">septembre 1997, le juge </w:t>
      </w:r>
      <w:r w:rsidR="00A83D85" w:rsidRPr="007772C4">
        <w:rPr>
          <w:lang w:val="fr-FR"/>
        </w:rPr>
        <w:t xml:space="preserve">a indiqué </w:t>
      </w:r>
      <w:r w:rsidR="00B84371" w:rsidRPr="007772C4">
        <w:rPr>
          <w:lang w:val="fr-FR"/>
        </w:rPr>
        <w:t>que</w:t>
      </w:r>
      <w:r w:rsidR="002C3D15" w:rsidRPr="007772C4">
        <w:rPr>
          <w:lang w:val="fr-FR"/>
        </w:rPr>
        <w:t xml:space="preserve"> </w:t>
      </w:r>
      <w:r w:rsidR="00B84371" w:rsidRPr="007772C4">
        <w:rPr>
          <w:lang w:val="fr-FR"/>
        </w:rPr>
        <w:t>C.C.</w:t>
      </w:r>
      <w:r w:rsidR="00A83D85" w:rsidRPr="007772C4">
        <w:rPr>
          <w:lang w:val="fr-FR"/>
        </w:rPr>
        <w:t>, ne vivant plus au domicile de ses parents,</w:t>
      </w:r>
      <w:r w:rsidR="00B84371" w:rsidRPr="007772C4">
        <w:rPr>
          <w:lang w:val="fr-FR"/>
        </w:rPr>
        <w:t xml:space="preserve"> n</w:t>
      </w:r>
      <w:r w:rsidR="007772C4" w:rsidRPr="007772C4">
        <w:rPr>
          <w:lang w:val="fr-FR"/>
        </w:rPr>
        <w:t>’</w:t>
      </w:r>
      <w:r w:rsidR="00B84371" w:rsidRPr="007772C4">
        <w:rPr>
          <w:lang w:val="fr-FR"/>
        </w:rPr>
        <w:t>avait pas</w:t>
      </w:r>
      <w:r w:rsidR="002C3D15" w:rsidRPr="007772C4">
        <w:rPr>
          <w:lang w:val="fr-FR"/>
        </w:rPr>
        <w:t xml:space="preserve"> reçu</w:t>
      </w:r>
      <w:r w:rsidR="00B84371" w:rsidRPr="007772C4">
        <w:rPr>
          <w:lang w:val="fr-FR"/>
        </w:rPr>
        <w:t xml:space="preserve"> notification</w:t>
      </w:r>
      <w:r w:rsidR="00A83D85" w:rsidRPr="007772C4">
        <w:rPr>
          <w:lang w:val="fr-FR"/>
        </w:rPr>
        <w:t xml:space="preserve"> de la citation à comparaître</w:t>
      </w:r>
      <w:r w:rsidR="00B84371" w:rsidRPr="007772C4">
        <w:rPr>
          <w:lang w:val="fr-FR"/>
        </w:rPr>
        <w:t>.</w:t>
      </w:r>
      <w:r w:rsidR="003216AB" w:rsidRPr="007772C4">
        <w:rPr>
          <w:lang w:val="fr-FR"/>
        </w:rPr>
        <w:t xml:space="preserve"> </w:t>
      </w:r>
      <w:r w:rsidR="00327C4E" w:rsidRPr="007772C4">
        <w:rPr>
          <w:lang w:val="fr-FR"/>
        </w:rPr>
        <w:t xml:space="preserve">Au final, </w:t>
      </w:r>
      <w:r w:rsidR="00327C4E" w:rsidRPr="007772C4">
        <w:rPr>
          <w:rFonts w:eastAsia="Times New Roman"/>
          <w:lang w:val="fr-FR"/>
        </w:rPr>
        <w:t>lors du procès</w:t>
      </w:r>
      <w:r w:rsidR="00327C4E" w:rsidRPr="007772C4">
        <w:rPr>
          <w:lang w:val="fr-FR"/>
        </w:rPr>
        <w:t xml:space="preserve"> e</w:t>
      </w:r>
      <w:r w:rsidR="003216AB" w:rsidRPr="007772C4">
        <w:rPr>
          <w:lang w:val="fr-FR"/>
        </w:rPr>
        <w:t xml:space="preserve">n </w:t>
      </w:r>
      <w:r w:rsidR="002C3D15" w:rsidRPr="007772C4">
        <w:rPr>
          <w:lang w:val="fr-FR"/>
        </w:rPr>
        <w:t xml:space="preserve">2003, </w:t>
      </w:r>
      <w:r w:rsidR="00327C4E" w:rsidRPr="007772C4">
        <w:rPr>
          <w:lang w:val="fr-FR"/>
        </w:rPr>
        <w:lastRenderedPageBreak/>
        <w:t xml:space="preserve">soit </w:t>
      </w:r>
      <w:r w:rsidR="002C3D15" w:rsidRPr="007772C4">
        <w:rPr>
          <w:lang w:val="fr-FR"/>
        </w:rPr>
        <w:t xml:space="preserve">plus de six ans après les faits, </w:t>
      </w:r>
      <w:r w:rsidR="002C3D15" w:rsidRPr="007772C4">
        <w:rPr>
          <w:rFonts w:eastAsia="Times New Roman"/>
          <w:lang w:val="fr-FR"/>
        </w:rPr>
        <w:t>les seules recherches effectuées</w:t>
      </w:r>
      <w:r w:rsidR="007D6D21" w:rsidRPr="007772C4">
        <w:rPr>
          <w:rFonts w:eastAsia="Times New Roman"/>
          <w:lang w:val="fr-FR"/>
        </w:rPr>
        <w:t xml:space="preserve"> </w:t>
      </w:r>
      <w:r w:rsidR="00B84371" w:rsidRPr="007772C4">
        <w:rPr>
          <w:rFonts w:eastAsia="Times New Roman"/>
          <w:lang w:val="fr-FR"/>
        </w:rPr>
        <w:t>par</w:t>
      </w:r>
      <w:r w:rsidR="007D6D21" w:rsidRPr="007772C4">
        <w:rPr>
          <w:rFonts w:eastAsia="Times New Roman"/>
          <w:lang w:val="fr-FR"/>
        </w:rPr>
        <w:t xml:space="preserve"> la police </w:t>
      </w:r>
      <w:r w:rsidR="00327C4E" w:rsidRPr="007772C4">
        <w:rPr>
          <w:rFonts w:eastAsia="Times New Roman"/>
          <w:lang w:val="fr-FR"/>
        </w:rPr>
        <w:t xml:space="preserve">avaient </w:t>
      </w:r>
      <w:r w:rsidR="007D6D21" w:rsidRPr="007772C4">
        <w:rPr>
          <w:rFonts w:eastAsia="Times New Roman"/>
          <w:lang w:val="fr-FR"/>
        </w:rPr>
        <w:t xml:space="preserve">été celles </w:t>
      </w:r>
      <w:r w:rsidR="006945A3" w:rsidRPr="007772C4">
        <w:rPr>
          <w:rFonts w:eastAsia="Times New Roman"/>
          <w:lang w:val="fr-FR"/>
        </w:rPr>
        <w:t>faites</w:t>
      </w:r>
      <w:r w:rsidR="00327C4E" w:rsidRPr="007772C4">
        <w:rPr>
          <w:rFonts w:eastAsia="Times New Roman"/>
          <w:lang w:val="fr-FR"/>
        </w:rPr>
        <w:t xml:space="preserve"> </w:t>
      </w:r>
      <w:r w:rsidR="007D6D21" w:rsidRPr="007772C4">
        <w:rPr>
          <w:rFonts w:eastAsia="Times New Roman"/>
          <w:lang w:val="fr-FR"/>
        </w:rPr>
        <w:t xml:space="preserve">au domicile </w:t>
      </w:r>
      <w:r w:rsidR="002C3D15" w:rsidRPr="007772C4">
        <w:rPr>
          <w:rFonts w:eastAsia="Times New Roman"/>
          <w:lang w:val="fr-FR"/>
        </w:rPr>
        <w:t>des parents de C.C</w:t>
      </w:r>
      <w:r w:rsidR="007D6D21" w:rsidRPr="007772C4">
        <w:rPr>
          <w:rFonts w:eastAsia="Times New Roman"/>
          <w:lang w:val="fr-FR"/>
        </w:rPr>
        <w:t>.</w:t>
      </w:r>
    </w:p>
    <w:p w:rsidR="00E66170" w:rsidRPr="007772C4" w:rsidRDefault="00440CB7" w:rsidP="007772C4">
      <w:pPr>
        <w:pStyle w:val="ECHRPara"/>
        <w:rPr>
          <w:rFonts w:eastAsia="Times New Roman"/>
          <w:lang w:val="fr-FR"/>
        </w:rPr>
      </w:pPr>
      <w:r w:rsidRPr="007772C4">
        <w:rPr>
          <w:rFonts w:eastAsia="Times New Roman"/>
          <w:lang w:val="fr-FR"/>
        </w:rPr>
        <w:fldChar w:fldCharType="begin"/>
      </w:r>
      <w:r w:rsidRPr="007772C4">
        <w:rPr>
          <w:rFonts w:eastAsia="Times New Roman"/>
          <w:lang w:val="fr-FR"/>
        </w:rPr>
        <w:instrText xml:space="preserve"> SEQ level0 \*arabic </w:instrText>
      </w:r>
      <w:r w:rsidRPr="007772C4">
        <w:rPr>
          <w:rFonts w:eastAsia="Times New Roman"/>
          <w:lang w:val="fr-FR"/>
        </w:rPr>
        <w:fldChar w:fldCharType="separate"/>
      </w:r>
      <w:r w:rsidR="007772C4" w:rsidRPr="007772C4">
        <w:rPr>
          <w:rFonts w:eastAsia="Times New Roman"/>
          <w:noProof/>
          <w:lang w:val="fr-FR"/>
        </w:rPr>
        <w:t>46</w:t>
      </w:r>
      <w:r w:rsidRPr="007772C4">
        <w:rPr>
          <w:rFonts w:eastAsia="Times New Roman"/>
          <w:lang w:val="fr-FR"/>
        </w:rPr>
        <w:fldChar w:fldCharType="end"/>
      </w:r>
      <w:r w:rsidRPr="007772C4">
        <w:rPr>
          <w:rFonts w:eastAsia="Times New Roman"/>
          <w:lang w:val="fr-FR"/>
        </w:rPr>
        <w:t>.  </w:t>
      </w:r>
      <w:proofErr w:type="gramStart"/>
      <w:r w:rsidR="00E66170" w:rsidRPr="007772C4">
        <w:rPr>
          <w:rFonts w:eastAsia="Times New Roman"/>
          <w:lang w:val="fr-FR"/>
        </w:rPr>
        <w:t>Dans ces circonstances,</w:t>
      </w:r>
      <w:r w:rsidR="002C3D15" w:rsidRPr="007772C4">
        <w:rPr>
          <w:rFonts w:eastAsia="Times New Roman"/>
          <w:lang w:val="fr-FR"/>
        </w:rPr>
        <w:t xml:space="preserve"> et compte tenu également </w:t>
      </w:r>
      <w:r w:rsidR="00047372" w:rsidRPr="007772C4">
        <w:rPr>
          <w:rFonts w:eastAsia="Times New Roman"/>
          <w:lang w:val="fr-FR"/>
        </w:rPr>
        <w:t xml:space="preserve">du long laps de temps écoulé </w:t>
      </w:r>
      <w:r w:rsidR="002C3D15" w:rsidRPr="007772C4">
        <w:rPr>
          <w:rFonts w:eastAsia="Times New Roman"/>
          <w:lang w:val="fr-FR"/>
        </w:rPr>
        <w:t>entre les faits et le procès,</w:t>
      </w:r>
      <w:r w:rsidR="00E66170" w:rsidRPr="007772C4">
        <w:rPr>
          <w:rFonts w:eastAsia="Times New Roman"/>
          <w:lang w:val="fr-FR"/>
        </w:rPr>
        <w:t xml:space="preserve"> la Cour estime </w:t>
      </w:r>
      <w:r w:rsidR="00971BD6" w:rsidRPr="007772C4">
        <w:rPr>
          <w:rFonts w:eastAsia="Times New Roman"/>
          <w:lang w:val="fr-FR"/>
        </w:rPr>
        <w:t>que le Gouvernement n</w:t>
      </w:r>
      <w:r w:rsidR="007772C4" w:rsidRPr="007772C4">
        <w:rPr>
          <w:rFonts w:eastAsia="Times New Roman"/>
          <w:lang w:val="fr-FR"/>
        </w:rPr>
        <w:t>’</w:t>
      </w:r>
      <w:r w:rsidR="00971BD6" w:rsidRPr="007772C4">
        <w:rPr>
          <w:rFonts w:eastAsia="Times New Roman"/>
          <w:lang w:val="fr-FR"/>
        </w:rPr>
        <w:t>a pas démontré que les juridictions italiennes</w:t>
      </w:r>
      <w:r w:rsidR="00E66170" w:rsidRPr="007772C4">
        <w:rPr>
          <w:rFonts w:eastAsia="Times New Roman"/>
          <w:lang w:val="fr-FR"/>
        </w:rPr>
        <w:t xml:space="preserve"> </w:t>
      </w:r>
      <w:r w:rsidR="00971BD6" w:rsidRPr="007772C4">
        <w:rPr>
          <w:rFonts w:eastAsia="Times New Roman"/>
          <w:lang w:val="fr-FR"/>
        </w:rPr>
        <w:t xml:space="preserve">ont déployé </w:t>
      </w:r>
      <w:r w:rsidR="00E66170" w:rsidRPr="007772C4">
        <w:rPr>
          <w:rFonts w:eastAsia="Times New Roman"/>
          <w:lang w:val="fr-FR"/>
        </w:rPr>
        <w:t>tous les efforts que l</w:t>
      </w:r>
      <w:r w:rsidR="007772C4" w:rsidRPr="007772C4">
        <w:rPr>
          <w:rFonts w:eastAsia="Times New Roman"/>
          <w:lang w:val="fr-FR"/>
        </w:rPr>
        <w:t>’</w:t>
      </w:r>
      <w:r w:rsidR="00E66170" w:rsidRPr="007772C4">
        <w:rPr>
          <w:rFonts w:eastAsia="Times New Roman"/>
          <w:lang w:val="fr-FR"/>
        </w:rPr>
        <w:t>on pouvait raisonnablement attendre d</w:t>
      </w:r>
      <w:r w:rsidR="007772C4" w:rsidRPr="007772C4">
        <w:rPr>
          <w:rFonts w:eastAsia="Times New Roman"/>
          <w:lang w:val="fr-FR"/>
        </w:rPr>
        <w:t>’</w:t>
      </w:r>
      <w:r w:rsidR="00E66170" w:rsidRPr="007772C4">
        <w:rPr>
          <w:rFonts w:eastAsia="Times New Roman"/>
          <w:lang w:val="fr-FR"/>
        </w:rPr>
        <w:t xml:space="preserve">elles pour assurer la comparution de </w:t>
      </w:r>
      <w:r w:rsidR="004D6ED0" w:rsidRPr="007772C4">
        <w:rPr>
          <w:rFonts w:eastAsia="Times New Roman"/>
          <w:lang w:val="fr-FR"/>
        </w:rPr>
        <w:t>C.C.</w:t>
      </w:r>
      <w:r w:rsidR="00971BD6" w:rsidRPr="007772C4">
        <w:rPr>
          <w:rFonts w:eastAsia="Times New Roman"/>
          <w:lang w:val="fr-FR"/>
        </w:rPr>
        <w:t xml:space="preserve"> ( voir paragraphes 9 et 41 ci-dessus)</w:t>
      </w:r>
      <w:r w:rsidR="00E66170" w:rsidRPr="007772C4">
        <w:rPr>
          <w:rFonts w:eastAsia="Times New Roman"/>
          <w:lang w:val="fr-FR"/>
        </w:rPr>
        <w:t xml:space="preserve"> (voir, </w:t>
      </w:r>
      <w:r w:rsidR="00E66170" w:rsidRPr="007772C4">
        <w:rPr>
          <w:rFonts w:eastAsia="Times New Roman"/>
          <w:i/>
          <w:lang w:val="fr-FR"/>
        </w:rPr>
        <w:t>mutatis mutandis</w:t>
      </w:r>
      <w:r w:rsidR="00E66170" w:rsidRPr="007772C4">
        <w:rPr>
          <w:rFonts w:eastAsia="Times New Roman"/>
          <w:lang w:val="fr-FR"/>
        </w:rPr>
        <w:t xml:space="preserve">, </w:t>
      </w:r>
      <w:proofErr w:type="spellStart"/>
      <w:r w:rsidR="00E66170" w:rsidRPr="007772C4">
        <w:rPr>
          <w:rFonts w:eastAsia="Times New Roman"/>
          <w:i/>
          <w:lang w:val="fr-FR"/>
        </w:rPr>
        <w:t>Rudnichenko</w:t>
      </w:r>
      <w:proofErr w:type="spellEnd"/>
      <w:r w:rsidR="00E66170" w:rsidRPr="007772C4">
        <w:rPr>
          <w:rFonts w:eastAsia="Times New Roman"/>
          <w:lang w:val="fr-FR"/>
        </w:rPr>
        <w:t>,</w:t>
      </w:r>
      <w:r w:rsidR="00E66170" w:rsidRPr="007772C4">
        <w:rPr>
          <w:rFonts w:eastAsia="Times New Roman"/>
          <w:i/>
          <w:lang w:val="fr-FR"/>
        </w:rPr>
        <w:t xml:space="preserve"> </w:t>
      </w:r>
      <w:r w:rsidR="00E66170" w:rsidRPr="007772C4">
        <w:rPr>
          <w:rFonts w:eastAsia="Times New Roman"/>
          <w:lang w:val="fr-FR"/>
        </w:rPr>
        <w:t xml:space="preserve">précité, §§ 105-109, où la Cour a conclu que la restriction apportée au droit du requérant de faire interroger un témoin absent ne reposait sur aucun motif, valable ou non, </w:t>
      </w:r>
      <w:r w:rsidR="00CA64A5" w:rsidRPr="007772C4">
        <w:rPr>
          <w:rFonts w:eastAsia="Times New Roman"/>
          <w:lang w:val="fr-FR"/>
        </w:rPr>
        <w:t xml:space="preserve">après avoir </w:t>
      </w:r>
      <w:r w:rsidR="00E66170" w:rsidRPr="007772C4">
        <w:rPr>
          <w:rFonts w:eastAsia="Times New Roman"/>
          <w:lang w:val="fr-FR"/>
        </w:rPr>
        <w:t xml:space="preserve">notamment </w:t>
      </w:r>
      <w:r w:rsidR="00CA64A5" w:rsidRPr="007772C4">
        <w:rPr>
          <w:rFonts w:eastAsia="Times New Roman"/>
          <w:lang w:val="fr-FR"/>
        </w:rPr>
        <w:t xml:space="preserve">observé </w:t>
      </w:r>
      <w:r w:rsidR="00E66170" w:rsidRPr="007772C4">
        <w:rPr>
          <w:rFonts w:eastAsia="Times New Roman"/>
          <w:lang w:val="fr-FR"/>
        </w:rPr>
        <w:t>qu</w:t>
      </w:r>
      <w:r w:rsidR="007772C4" w:rsidRPr="007772C4">
        <w:rPr>
          <w:rFonts w:eastAsia="Times New Roman"/>
          <w:lang w:val="fr-FR"/>
        </w:rPr>
        <w:t>’</w:t>
      </w:r>
      <w:r w:rsidR="00E66170" w:rsidRPr="007772C4">
        <w:rPr>
          <w:rFonts w:eastAsia="Times New Roman"/>
          <w:lang w:val="fr-FR"/>
        </w:rPr>
        <w:t>aucune mesure n</w:t>
      </w:r>
      <w:r w:rsidR="007772C4" w:rsidRPr="007772C4">
        <w:rPr>
          <w:rFonts w:eastAsia="Times New Roman"/>
          <w:lang w:val="fr-FR"/>
        </w:rPr>
        <w:t>’</w:t>
      </w:r>
      <w:r w:rsidR="00E66170" w:rsidRPr="007772C4">
        <w:rPr>
          <w:rFonts w:eastAsia="Times New Roman"/>
          <w:lang w:val="fr-FR"/>
        </w:rPr>
        <w:t xml:space="preserve">avait été prise pour faire en sorte que le témoin litigieux </w:t>
      </w:r>
      <w:r w:rsidR="00CA64A5" w:rsidRPr="007772C4">
        <w:rPr>
          <w:rFonts w:eastAsia="Times New Roman"/>
          <w:lang w:val="fr-FR"/>
        </w:rPr>
        <w:t xml:space="preserve">pût </w:t>
      </w:r>
      <w:r w:rsidR="00E66170" w:rsidRPr="007772C4">
        <w:rPr>
          <w:rFonts w:eastAsia="Times New Roman"/>
          <w:lang w:val="fr-FR"/>
        </w:rPr>
        <w:t>compara</w:t>
      </w:r>
      <w:r w:rsidR="00CA64A5" w:rsidRPr="007772C4">
        <w:rPr>
          <w:rFonts w:eastAsia="Times New Roman"/>
          <w:lang w:val="fr-FR"/>
        </w:rPr>
        <w:t>ître</w:t>
      </w:r>
      <w:r w:rsidR="00E66170" w:rsidRPr="007772C4">
        <w:rPr>
          <w:rFonts w:eastAsia="Times New Roman"/>
          <w:lang w:val="fr-FR"/>
        </w:rPr>
        <w:t xml:space="preserve"> et être interrogé).</w:t>
      </w:r>
      <w:proofErr w:type="gramEnd"/>
    </w:p>
    <w:p w:rsidR="00E66170" w:rsidRPr="007772C4" w:rsidRDefault="00440CB7" w:rsidP="007772C4">
      <w:pPr>
        <w:pStyle w:val="ECHRPara"/>
        <w:rPr>
          <w:rFonts w:eastAsia="Times New Roman"/>
          <w:lang w:val="fr-FR"/>
        </w:rPr>
      </w:pPr>
      <w:r w:rsidRPr="007772C4">
        <w:rPr>
          <w:rFonts w:eastAsia="Times New Roman"/>
          <w:lang w:val="fr-FR"/>
        </w:rPr>
        <w:fldChar w:fldCharType="begin"/>
      </w:r>
      <w:r w:rsidRPr="007772C4">
        <w:rPr>
          <w:rFonts w:eastAsia="Times New Roman"/>
          <w:lang w:val="fr-FR"/>
        </w:rPr>
        <w:instrText xml:space="preserve"> SEQ level0 \*arabic </w:instrText>
      </w:r>
      <w:r w:rsidRPr="007772C4">
        <w:rPr>
          <w:rFonts w:eastAsia="Times New Roman"/>
          <w:lang w:val="fr-FR"/>
        </w:rPr>
        <w:fldChar w:fldCharType="separate"/>
      </w:r>
      <w:r w:rsidR="007772C4" w:rsidRPr="007772C4">
        <w:rPr>
          <w:rFonts w:eastAsia="Times New Roman"/>
          <w:noProof/>
          <w:lang w:val="fr-FR"/>
        </w:rPr>
        <w:t>47</w:t>
      </w:r>
      <w:r w:rsidRPr="007772C4">
        <w:rPr>
          <w:rFonts w:eastAsia="Times New Roman"/>
          <w:lang w:val="fr-FR"/>
        </w:rPr>
        <w:fldChar w:fldCharType="end"/>
      </w:r>
      <w:r w:rsidRPr="007772C4">
        <w:rPr>
          <w:rFonts w:eastAsia="Times New Roman"/>
          <w:lang w:val="fr-FR"/>
        </w:rPr>
        <w:t>.  </w:t>
      </w:r>
      <w:r w:rsidR="00E66170" w:rsidRPr="007772C4">
        <w:rPr>
          <w:rFonts w:eastAsia="Times New Roman"/>
          <w:lang w:val="fr-FR"/>
        </w:rPr>
        <w:t xml:space="preserve">Cependant, comme observé plus haut (paragraphe </w:t>
      </w:r>
      <w:r w:rsidR="0035043B" w:rsidRPr="007772C4">
        <w:rPr>
          <w:rFonts w:eastAsia="Times New Roman"/>
          <w:lang w:val="fr-FR"/>
        </w:rPr>
        <w:fldChar w:fldCharType="begin"/>
      </w:r>
      <w:r w:rsidR="0035043B" w:rsidRPr="007772C4">
        <w:rPr>
          <w:rFonts w:eastAsia="Times New Roman"/>
          <w:lang w:val="fr-FR"/>
        </w:rPr>
        <w:instrText xml:space="preserve"> REF par45 \h </w:instrText>
      </w:r>
      <w:r w:rsidR="00F34FBC" w:rsidRPr="007772C4">
        <w:rPr>
          <w:rFonts w:eastAsia="Times New Roman"/>
          <w:lang w:val="fr-FR"/>
        </w:rPr>
        <w:instrText xml:space="preserve"> \* MERGEFORMAT </w:instrText>
      </w:r>
      <w:r w:rsidR="0035043B" w:rsidRPr="007772C4">
        <w:rPr>
          <w:rFonts w:eastAsia="Times New Roman"/>
          <w:lang w:val="fr-FR"/>
        </w:rPr>
      </w:r>
      <w:r w:rsidR="0035043B" w:rsidRPr="007772C4">
        <w:rPr>
          <w:rFonts w:eastAsia="Times New Roman"/>
          <w:lang w:val="fr-FR"/>
        </w:rPr>
        <w:fldChar w:fldCharType="separate"/>
      </w:r>
      <w:r w:rsidR="007772C4" w:rsidRPr="007772C4">
        <w:rPr>
          <w:rFonts w:eastAsia="Times New Roman"/>
          <w:noProof/>
          <w:lang w:val="fr-FR"/>
        </w:rPr>
        <w:t>40</w:t>
      </w:r>
      <w:r w:rsidR="0035043B" w:rsidRPr="007772C4">
        <w:rPr>
          <w:rFonts w:eastAsia="Times New Roman"/>
          <w:lang w:val="fr-FR"/>
        </w:rPr>
        <w:fldChar w:fldCharType="end"/>
      </w:r>
      <w:r w:rsidR="00E66170" w:rsidRPr="007772C4">
        <w:rPr>
          <w:rFonts w:eastAsia="Times New Roman"/>
          <w:lang w:val="fr-FR"/>
        </w:rPr>
        <w:t xml:space="preserve"> ci-dessus), même si elle constitue un élément de poids pour apprécier l</w:t>
      </w:r>
      <w:r w:rsidR="007772C4" w:rsidRPr="007772C4">
        <w:rPr>
          <w:rFonts w:eastAsia="Times New Roman"/>
          <w:lang w:val="fr-FR"/>
        </w:rPr>
        <w:t>’</w:t>
      </w:r>
      <w:r w:rsidR="00E66170" w:rsidRPr="007772C4">
        <w:rPr>
          <w:rFonts w:eastAsia="Times New Roman"/>
          <w:lang w:val="fr-FR"/>
        </w:rPr>
        <w:t>équité globale du procès, l</w:t>
      </w:r>
      <w:r w:rsidR="007772C4" w:rsidRPr="007772C4">
        <w:rPr>
          <w:rFonts w:eastAsia="Times New Roman"/>
          <w:lang w:val="fr-FR"/>
        </w:rPr>
        <w:t>’</w:t>
      </w:r>
      <w:r w:rsidR="00E66170" w:rsidRPr="007772C4">
        <w:rPr>
          <w:rFonts w:eastAsia="Times New Roman"/>
          <w:lang w:val="fr-FR"/>
        </w:rPr>
        <w:t xml:space="preserve">absence de motif sérieux justifiant la non-comparution de </w:t>
      </w:r>
      <w:r w:rsidR="002C3D15" w:rsidRPr="007772C4">
        <w:rPr>
          <w:rFonts w:eastAsia="Times New Roman"/>
          <w:lang w:val="fr-FR"/>
        </w:rPr>
        <w:t>C.C.</w:t>
      </w:r>
      <w:r w:rsidR="00E66170" w:rsidRPr="007772C4">
        <w:rPr>
          <w:rFonts w:eastAsia="Times New Roman"/>
          <w:lang w:val="fr-FR"/>
        </w:rPr>
        <w:t xml:space="preserve"> n</w:t>
      </w:r>
      <w:r w:rsidR="007772C4" w:rsidRPr="007772C4">
        <w:rPr>
          <w:rFonts w:eastAsia="Times New Roman"/>
          <w:lang w:val="fr-FR"/>
        </w:rPr>
        <w:t>’</w:t>
      </w:r>
      <w:r w:rsidR="00E66170" w:rsidRPr="007772C4">
        <w:rPr>
          <w:rFonts w:eastAsia="Times New Roman"/>
          <w:lang w:val="fr-FR"/>
        </w:rPr>
        <w:t>est pas en soi constitutive d</w:t>
      </w:r>
      <w:r w:rsidR="007772C4" w:rsidRPr="007772C4">
        <w:rPr>
          <w:rFonts w:eastAsia="Times New Roman"/>
          <w:lang w:val="fr-FR"/>
        </w:rPr>
        <w:t>’</w:t>
      </w:r>
      <w:r w:rsidR="00E66170" w:rsidRPr="007772C4">
        <w:rPr>
          <w:rFonts w:eastAsia="Times New Roman"/>
          <w:lang w:val="fr-FR"/>
        </w:rPr>
        <w:t>une violation de l</w:t>
      </w:r>
      <w:r w:rsidR="007772C4" w:rsidRPr="007772C4">
        <w:rPr>
          <w:rFonts w:eastAsia="Times New Roman"/>
          <w:lang w:val="fr-FR"/>
        </w:rPr>
        <w:t>’</w:t>
      </w:r>
      <w:r w:rsidR="00E66170" w:rsidRPr="007772C4">
        <w:rPr>
          <w:rFonts w:eastAsia="Times New Roman"/>
          <w:lang w:val="fr-FR"/>
        </w:rPr>
        <w:t xml:space="preserve">article 6 de la Convention. La Cour examinera donc si </w:t>
      </w:r>
      <w:r w:rsidR="006F6FE5" w:rsidRPr="007772C4">
        <w:rPr>
          <w:rFonts w:eastAsia="Times New Roman"/>
          <w:lang w:val="fr-FR"/>
        </w:rPr>
        <w:t>l</w:t>
      </w:r>
      <w:r w:rsidR="00E66170" w:rsidRPr="007772C4">
        <w:rPr>
          <w:rFonts w:eastAsia="Times New Roman"/>
          <w:lang w:val="fr-FR"/>
        </w:rPr>
        <w:t xml:space="preserve">a déposition </w:t>
      </w:r>
      <w:r w:rsidR="006F6FE5" w:rsidRPr="007772C4">
        <w:rPr>
          <w:rFonts w:eastAsia="Times New Roman"/>
          <w:lang w:val="fr-FR"/>
        </w:rPr>
        <w:t xml:space="preserve">de C.C. </w:t>
      </w:r>
      <w:r w:rsidR="00E66170" w:rsidRPr="007772C4">
        <w:rPr>
          <w:rFonts w:eastAsia="Times New Roman"/>
          <w:lang w:val="fr-FR"/>
        </w:rPr>
        <w:t>constituait le fondement unique ou déterminant de la condamnation du requérant et s</w:t>
      </w:r>
      <w:r w:rsidR="007772C4" w:rsidRPr="007772C4">
        <w:rPr>
          <w:rFonts w:eastAsia="Times New Roman"/>
          <w:lang w:val="fr-FR"/>
        </w:rPr>
        <w:t>’</w:t>
      </w:r>
      <w:r w:rsidR="00E66170" w:rsidRPr="007772C4">
        <w:rPr>
          <w:rFonts w:eastAsia="Times New Roman"/>
          <w:lang w:val="fr-FR"/>
        </w:rPr>
        <w:t>il existait des éléments compensateurs suffisants pour contrebalancer les difficultés que l</w:t>
      </w:r>
      <w:r w:rsidR="007772C4" w:rsidRPr="007772C4">
        <w:rPr>
          <w:rFonts w:eastAsia="Times New Roman"/>
          <w:lang w:val="fr-FR"/>
        </w:rPr>
        <w:t>’</w:t>
      </w:r>
      <w:r w:rsidR="00E66170" w:rsidRPr="007772C4">
        <w:rPr>
          <w:rFonts w:eastAsia="Times New Roman"/>
          <w:lang w:val="fr-FR"/>
        </w:rPr>
        <w:t>impossibilité de contre-interroger ce témoin a causées à la défense.</w:t>
      </w:r>
    </w:p>
    <w:p w:rsidR="00F518D2" w:rsidRPr="007772C4" w:rsidRDefault="007B6813" w:rsidP="007772C4">
      <w:pPr>
        <w:pStyle w:val="ECHRHeading5"/>
        <w:rPr>
          <w:rFonts w:eastAsia="Times New Roman"/>
          <w:lang w:val="fr-FR"/>
        </w:rPr>
      </w:pPr>
      <w:r w:rsidRPr="007772C4">
        <w:rPr>
          <w:rFonts w:eastAsia="Times New Roman"/>
          <w:lang w:val="fr-FR"/>
        </w:rPr>
        <w:t>ii.</w:t>
      </w:r>
      <w:proofErr w:type="gramStart"/>
      <w:r w:rsidRPr="007772C4">
        <w:rPr>
          <w:rFonts w:eastAsia="Times New Roman"/>
          <w:lang w:val="fr-FR"/>
        </w:rPr>
        <w:t>  </w:t>
      </w:r>
      <w:r w:rsidR="00F518D2" w:rsidRPr="007772C4">
        <w:rPr>
          <w:rFonts w:eastAsia="Times New Roman"/>
          <w:lang w:val="fr-FR"/>
        </w:rPr>
        <w:t>L</w:t>
      </w:r>
      <w:r w:rsidR="007772C4" w:rsidRPr="007772C4">
        <w:rPr>
          <w:rFonts w:eastAsia="Times New Roman"/>
          <w:lang w:val="fr-FR"/>
        </w:rPr>
        <w:t>’</w:t>
      </w:r>
      <w:r w:rsidR="00F518D2" w:rsidRPr="007772C4">
        <w:rPr>
          <w:rFonts w:eastAsia="Times New Roman"/>
          <w:lang w:val="fr-FR"/>
        </w:rPr>
        <w:t>importance</w:t>
      </w:r>
      <w:proofErr w:type="gramEnd"/>
      <w:r w:rsidR="00F518D2" w:rsidRPr="007772C4">
        <w:rPr>
          <w:rFonts w:eastAsia="Times New Roman"/>
          <w:lang w:val="fr-FR"/>
        </w:rPr>
        <w:t xml:space="preserve"> de la déposition de </w:t>
      </w:r>
      <w:r w:rsidR="00F6468B" w:rsidRPr="007772C4">
        <w:rPr>
          <w:rFonts w:eastAsia="Times New Roman"/>
          <w:lang w:val="fr-FR"/>
        </w:rPr>
        <w:t>C.C.</w:t>
      </w:r>
      <w:r w:rsidR="00F518D2" w:rsidRPr="007772C4">
        <w:rPr>
          <w:rFonts w:eastAsia="Times New Roman"/>
          <w:lang w:val="fr-FR"/>
        </w:rPr>
        <w:t xml:space="preserve"> pour la condamnation du requérant</w:t>
      </w:r>
    </w:p>
    <w:p w:rsidR="00615CAA" w:rsidRPr="007772C4" w:rsidRDefault="00440CB7" w:rsidP="007772C4">
      <w:pPr>
        <w:pStyle w:val="ECHRPara"/>
        <w:rPr>
          <w:lang w:val="fr-FR"/>
        </w:rPr>
      </w:pPr>
      <w:r w:rsidRPr="007772C4">
        <w:rPr>
          <w:rFonts w:eastAsia="Times New Roman"/>
          <w:lang w:val="fr-FR"/>
        </w:rPr>
        <w:fldChar w:fldCharType="begin"/>
      </w:r>
      <w:r w:rsidRPr="007772C4">
        <w:rPr>
          <w:rFonts w:eastAsia="Times New Roman"/>
          <w:lang w:val="fr-FR"/>
        </w:rPr>
        <w:instrText xml:space="preserve"> SEQ level0 \*arabic </w:instrText>
      </w:r>
      <w:r w:rsidRPr="007772C4">
        <w:rPr>
          <w:rFonts w:eastAsia="Times New Roman"/>
          <w:lang w:val="fr-FR"/>
        </w:rPr>
        <w:fldChar w:fldCharType="separate"/>
      </w:r>
      <w:r w:rsidR="007772C4" w:rsidRPr="007772C4">
        <w:rPr>
          <w:rFonts w:eastAsia="Times New Roman"/>
          <w:noProof/>
          <w:lang w:val="fr-FR"/>
        </w:rPr>
        <w:t>48</w:t>
      </w:r>
      <w:r w:rsidRPr="007772C4">
        <w:rPr>
          <w:rFonts w:eastAsia="Times New Roman"/>
          <w:lang w:val="fr-FR"/>
        </w:rPr>
        <w:fldChar w:fldCharType="end"/>
      </w:r>
      <w:r w:rsidRPr="007772C4">
        <w:rPr>
          <w:rFonts w:eastAsia="Times New Roman"/>
          <w:lang w:val="fr-FR"/>
        </w:rPr>
        <w:t>.  </w:t>
      </w:r>
      <w:r w:rsidR="00F518D2" w:rsidRPr="007772C4">
        <w:rPr>
          <w:rFonts w:eastAsia="Times New Roman"/>
          <w:lang w:val="fr-FR"/>
        </w:rPr>
        <w:t xml:space="preserve">La Cour </w:t>
      </w:r>
      <w:r w:rsidR="00045527" w:rsidRPr="007772C4">
        <w:rPr>
          <w:lang w:val="fr-FR"/>
        </w:rPr>
        <w:t xml:space="preserve">constate que les juges nationaux ont fondé la condamnation du requérant exclusivement ou du moins dans une mesure déterminante sur les déclarations faites par C.C. lors du dépôt de </w:t>
      </w:r>
      <w:r w:rsidR="00CA64A5" w:rsidRPr="007772C4">
        <w:rPr>
          <w:lang w:val="fr-FR"/>
        </w:rPr>
        <w:t>s</w:t>
      </w:r>
      <w:r w:rsidR="00045527" w:rsidRPr="007772C4">
        <w:rPr>
          <w:lang w:val="fr-FR"/>
        </w:rPr>
        <w:t>a plainte en 1996</w:t>
      </w:r>
      <w:r w:rsidR="00E225C4" w:rsidRPr="007772C4">
        <w:rPr>
          <w:rFonts w:eastAsia="Times New Roman"/>
          <w:lang w:val="fr-FR"/>
        </w:rPr>
        <w:t>.</w:t>
      </w:r>
    </w:p>
    <w:p w:rsidR="00F518D2" w:rsidRPr="007772C4" w:rsidRDefault="0068072E" w:rsidP="007772C4">
      <w:pPr>
        <w:pStyle w:val="ECHRPara"/>
        <w:rPr>
          <w:lang w:val="fr-FR"/>
        </w:rPr>
      </w:pPr>
      <w:r w:rsidRPr="007772C4">
        <w:rPr>
          <w:lang w:val="fr-FR"/>
        </w:rPr>
        <w:fldChar w:fldCharType="begin"/>
      </w:r>
      <w:r w:rsidRPr="007772C4">
        <w:rPr>
          <w:lang w:val="fr-FR"/>
        </w:rPr>
        <w:instrText xml:space="preserve"> SEQ level0 \*arabic </w:instrText>
      </w:r>
      <w:r w:rsidRPr="007772C4">
        <w:rPr>
          <w:lang w:val="fr-FR"/>
        </w:rPr>
        <w:fldChar w:fldCharType="separate"/>
      </w:r>
      <w:r w:rsidR="007772C4" w:rsidRPr="007772C4">
        <w:rPr>
          <w:noProof/>
          <w:lang w:val="fr-FR"/>
        </w:rPr>
        <w:t>49</w:t>
      </w:r>
      <w:r w:rsidRPr="007772C4">
        <w:rPr>
          <w:lang w:val="fr-FR"/>
        </w:rPr>
        <w:fldChar w:fldCharType="end"/>
      </w:r>
      <w:r w:rsidRPr="007772C4">
        <w:rPr>
          <w:lang w:val="fr-FR"/>
        </w:rPr>
        <w:t>.  S</w:t>
      </w:r>
      <w:r w:rsidR="007772C4" w:rsidRPr="007772C4">
        <w:rPr>
          <w:lang w:val="fr-FR"/>
        </w:rPr>
        <w:t>’</w:t>
      </w:r>
      <w:r w:rsidRPr="007772C4">
        <w:rPr>
          <w:lang w:val="fr-FR"/>
        </w:rPr>
        <w:t>il est vrai, c</w:t>
      </w:r>
      <w:r w:rsidR="0069357D" w:rsidRPr="007772C4">
        <w:rPr>
          <w:lang w:val="fr-FR"/>
        </w:rPr>
        <w:t xml:space="preserve">omme le reconnait le Gouvernement, </w:t>
      </w:r>
      <w:r w:rsidRPr="007772C4">
        <w:rPr>
          <w:lang w:val="fr-FR"/>
        </w:rPr>
        <w:t xml:space="preserve">que </w:t>
      </w:r>
      <w:r w:rsidR="0069357D" w:rsidRPr="007772C4">
        <w:rPr>
          <w:lang w:val="fr-FR"/>
        </w:rPr>
        <w:t xml:space="preserve">le tribunal </w:t>
      </w:r>
      <w:r w:rsidR="0069357D" w:rsidRPr="007772C4">
        <w:rPr>
          <w:rFonts w:ascii="Times New Roman" w:hAnsi="Times New Roman" w:cs="Times New Roman"/>
          <w:color w:val="000000"/>
          <w:lang w:val="fr-FR"/>
        </w:rPr>
        <w:t>a pris en considération les déclarations du carabinier L.R. ayant enregistré la plainte de C.C. et ayant effectué la procédure de reconnaissance photographique d</w:t>
      </w:r>
      <w:r w:rsidRPr="007772C4">
        <w:rPr>
          <w:rFonts w:ascii="Times New Roman" w:hAnsi="Times New Roman" w:cs="Times New Roman"/>
          <w:color w:val="000000"/>
          <w:lang w:val="fr-FR"/>
        </w:rPr>
        <w:t>u requérant et de son coïnculpé afin de valider la preuve principale, la Cour note toutefois qu</w:t>
      </w:r>
      <w:r w:rsidR="007772C4" w:rsidRPr="007772C4">
        <w:rPr>
          <w:rFonts w:ascii="Times New Roman" w:hAnsi="Times New Roman" w:cs="Times New Roman"/>
          <w:color w:val="000000"/>
          <w:lang w:val="fr-FR"/>
        </w:rPr>
        <w:t>’</w:t>
      </w:r>
      <w:r w:rsidRPr="007772C4">
        <w:rPr>
          <w:lang w:val="fr-FR"/>
        </w:rPr>
        <w:t>aucune</w:t>
      </w:r>
      <w:r w:rsidR="00E225C4" w:rsidRPr="007772C4">
        <w:rPr>
          <w:lang w:val="fr-FR"/>
        </w:rPr>
        <w:t xml:space="preserve"> confrontation directe n</w:t>
      </w:r>
      <w:r w:rsidR="007772C4" w:rsidRPr="007772C4">
        <w:rPr>
          <w:lang w:val="fr-FR"/>
        </w:rPr>
        <w:t>’</w:t>
      </w:r>
      <w:r w:rsidR="00E225C4" w:rsidRPr="007772C4">
        <w:rPr>
          <w:lang w:val="fr-FR"/>
        </w:rPr>
        <w:t>a pu avoir lieu entre le requérant et son accusateur, ni pendant le procès ni au stade de l</w:t>
      </w:r>
      <w:r w:rsidR="007772C4" w:rsidRPr="007772C4">
        <w:rPr>
          <w:lang w:val="fr-FR"/>
        </w:rPr>
        <w:t>’</w:t>
      </w:r>
      <w:r w:rsidR="00E225C4" w:rsidRPr="007772C4">
        <w:rPr>
          <w:lang w:val="fr-FR"/>
        </w:rPr>
        <w:t xml:space="preserve">enquête préliminaire. En particulier, au cours de </w:t>
      </w:r>
      <w:r w:rsidR="00335749" w:rsidRPr="007772C4">
        <w:rPr>
          <w:lang w:val="fr-FR"/>
        </w:rPr>
        <w:t>celle-ci</w:t>
      </w:r>
      <w:r w:rsidR="00E225C4" w:rsidRPr="007772C4">
        <w:rPr>
          <w:lang w:val="fr-FR"/>
        </w:rPr>
        <w:t>, C.C. ne s</w:t>
      </w:r>
      <w:r w:rsidR="007772C4" w:rsidRPr="007772C4">
        <w:rPr>
          <w:lang w:val="fr-FR"/>
        </w:rPr>
        <w:t>’</w:t>
      </w:r>
      <w:r w:rsidR="00E225C4" w:rsidRPr="007772C4">
        <w:rPr>
          <w:lang w:val="fr-FR"/>
        </w:rPr>
        <w:t>est pas présenté à l</w:t>
      </w:r>
      <w:r w:rsidR="007772C4" w:rsidRPr="007772C4">
        <w:rPr>
          <w:lang w:val="fr-FR"/>
        </w:rPr>
        <w:t>’</w:t>
      </w:r>
      <w:r w:rsidR="00E225C4" w:rsidRPr="007772C4">
        <w:rPr>
          <w:lang w:val="fr-FR"/>
        </w:rPr>
        <w:t xml:space="preserve">audience </w:t>
      </w:r>
      <w:r w:rsidR="00E225C4" w:rsidRPr="007772C4">
        <w:rPr>
          <w:i/>
          <w:lang w:val="fr-FR"/>
        </w:rPr>
        <w:t>ad hoc</w:t>
      </w:r>
      <w:r w:rsidR="00E225C4" w:rsidRPr="007772C4">
        <w:rPr>
          <w:lang w:val="fr-FR"/>
        </w:rPr>
        <w:t xml:space="preserve"> </w:t>
      </w:r>
      <w:r w:rsidR="00335749" w:rsidRPr="007772C4">
        <w:rPr>
          <w:lang w:val="fr-FR"/>
        </w:rPr>
        <w:t>qui s</w:t>
      </w:r>
      <w:r w:rsidR="007772C4" w:rsidRPr="007772C4">
        <w:rPr>
          <w:lang w:val="fr-FR"/>
        </w:rPr>
        <w:t>’</w:t>
      </w:r>
      <w:r w:rsidR="00335749" w:rsidRPr="007772C4">
        <w:rPr>
          <w:lang w:val="fr-FR"/>
        </w:rPr>
        <w:t xml:space="preserve">est tenue </w:t>
      </w:r>
      <w:r w:rsidR="00E225C4" w:rsidRPr="007772C4">
        <w:rPr>
          <w:lang w:val="fr-FR"/>
        </w:rPr>
        <w:t>devant le GIP en pré</w:t>
      </w:r>
      <w:r w:rsidR="00F6468B" w:rsidRPr="007772C4">
        <w:rPr>
          <w:lang w:val="fr-FR"/>
        </w:rPr>
        <w:t xml:space="preserve">sence des avocats de la défense. </w:t>
      </w:r>
      <w:r w:rsidR="00F518D2" w:rsidRPr="007772C4">
        <w:rPr>
          <w:rFonts w:eastAsia="Times New Roman"/>
          <w:lang w:val="fr-FR"/>
        </w:rPr>
        <w:t>L</w:t>
      </w:r>
      <w:r w:rsidR="00C930BD" w:rsidRPr="007772C4">
        <w:rPr>
          <w:rFonts w:eastAsia="Times New Roman"/>
          <w:lang w:val="fr-FR"/>
        </w:rPr>
        <w:t>a Cour réaffirme que l</w:t>
      </w:r>
      <w:r w:rsidR="00F518D2" w:rsidRPr="007772C4">
        <w:rPr>
          <w:rFonts w:eastAsia="Times New Roman"/>
          <w:lang w:val="fr-FR"/>
        </w:rPr>
        <w:t xml:space="preserve">e caractère unique de la preuve pèse lourd dans la balance et </w:t>
      </w:r>
      <w:r w:rsidR="00C930BD" w:rsidRPr="007772C4">
        <w:rPr>
          <w:rFonts w:eastAsia="Times New Roman"/>
          <w:lang w:val="fr-FR"/>
        </w:rPr>
        <w:t>qu</w:t>
      </w:r>
      <w:r w:rsidR="007772C4" w:rsidRPr="007772C4">
        <w:rPr>
          <w:rFonts w:eastAsia="Times New Roman"/>
          <w:lang w:val="fr-FR"/>
        </w:rPr>
        <w:t>’</w:t>
      </w:r>
      <w:r w:rsidR="00C930BD" w:rsidRPr="007772C4">
        <w:rPr>
          <w:rFonts w:eastAsia="Times New Roman"/>
          <w:lang w:val="fr-FR"/>
        </w:rPr>
        <w:t xml:space="preserve">il </w:t>
      </w:r>
      <w:r w:rsidR="00F518D2" w:rsidRPr="007772C4">
        <w:rPr>
          <w:rFonts w:eastAsia="Times New Roman"/>
          <w:lang w:val="fr-FR"/>
        </w:rPr>
        <w:t>appelle des éléments suffisamment compensateurs des difficultés que son admission fait subir à la défense (</w:t>
      </w:r>
      <w:r w:rsidR="00F518D2" w:rsidRPr="007772C4">
        <w:rPr>
          <w:rFonts w:eastAsia="Times New Roman"/>
          <w:i/>
          <w:lang w:val="fr-FR"/>
        </w:rPr>
        <w:t>Al-</w:t>
      </w:r>
      <w:proofErr w:type="spellStart"/>
      <w:r w:rsidR="00F518D2" w:rsidRPr="007772C4">
        <w:rPr>
          <w:rFonts w:eastAsia="Times New Roman"/>
          <w:i/>
          <w:lang w:val="fr-FR"/>
        </w:rPr>
        <w:t>Khawaja</w:t>
      </w:r>
      <w:proofErr w:type="spellEnd"/>
      <w:r w:rsidR="00F518D2" w:rsidRPr="007772C4">
        <w:rPr>
          <w:rFonts w:eastAsia="Times New Roman"/>
          <w:i/>
          <w:lang w:val="fr-FR"/>
        </w:rPr>
        <w:t xml:space="preserve"> et </w:t>
      </w:r>
      <w:proofErr w:type="spellStart"/>
      <w:r w:rsidR="00F518D2" w:rsidRPr="007772C4">
        <w:rPr>
          <w:rFonts w:eastAsia="Times New Roman"/>
          <w:i/>
          <w:lang w:val="fr-FR"/>
        </w:rPr>
        <w:t>Tahery</w:t>
      </w:r>
      <w:proofErr w:type="spellEnd"/>
      <w:r w:rsidR="00F6468B" w:rsidRPr="007772C4">
        <w:rPr>
          <w:rFonts w:eastAsia="Times New Roman"/>
          <w:lang w:val="fr-FR"/>
        </w:rPr>
        <w:t>, précité, § </w:t>
      </w:r>
      <w:r w:rsidR="00F518D2" w:rsidRPr="007772C4">
        <w:rPr>
          <w:rFonts w:eastAsia="Times New Roman"/>
          <w:lang w:val="fr-FR"/>
        </w:rPr>
        <w:t>161).</w:t>
      </w:r>
    </w:p>
    <w:p w:rsidR="00F518D2" w:rsidRPr="007772C4" w:rsidRDefault="007B6813" w:rsidP="007772C4">
      <w:pPr>
        <w:pStyle w:val="ECHRHeading5"/>
        <w:rPr>
          <w:rFonts w:eastAsia="Times New Roman"/>
          <w:lang w:val="fr-FR"/>
        </w:rPr>
      </w:pPr>
      <w:r w:rsidRPr="007772C4">
        <w:rPr>
          <w:rFonts w:eastAsia="Times New Roman"/>
          <w:lang w:val="fr-FR"/>
        </w:rPr>
        <w:t>iii.</w:t>
      </w:r>
      <w:proofErr w:type="gramStart"/>
      <w:r w:rsidRPr="007772C4">
        <w:rPr>
          <w:rFonts w:eastAsia="Times New Roman"/>
          <w:lang w:val="fr-FR"/>
        </w:rPr>
        <w:t>  </w:t>
      </w:r>
      <w:r w:rsidR="00F518D2" w:rsidRPr="007772C4">
        <w:rPr>
          <w:rFonts w:eastAsia="Times New Roman"/>
          <w:lang w:val="fr-FR"/>
        </w:rPr>
        <w:t>Les</w:t>
      </w:r>
      <w:proofErr w:type="gramEnd"/>
      <w:r w:rsidR="00F518D2" w:rsidRPr="007772C4">
        <w:rPr>
          <w:rFonts w:eastAsia="Times New Roman"/>
          <w:lang w:val="fr-FR"/>
        </w:rPr>
        <w:t xml:space="preserve"> garanties procédurales pour contrebalancer les difficultés causées à la défense</w:t>
      </w:r>
    </w:p>
    <w:p w:rsidR="00F518D2" w:rsidRPr="007772C4" w:rsidRDefault="00440CB7" w:rsidP="007772C4">
      <w:pPr>
        <w:pStyle w:val="ECHRPara"/>
        <w:rPr>
          <w:rFonts w:eastAsia="Times New Roman"/>
          <w:lang w:val="fr-FR"/>
        </w:rPr>
      </w:pPr>
      <w:r w:rsidRPr="007772C4">
        <w:rPr>
          <w:rFonts w:eastAsia="Times New Roman"/>
          <w:lang w:val="fr-FR"/>
        </w:rPr>
        <w:fldChar w:fldCharType="begin"/>
      </w:r>
      <w:r w:rsidRPr="007772C4">
        <w:rPr>
          <w:rFonts w:eastAsia="Times New Roman"/>
          <w:lang w:val="fr-FR"/>
        </w:rPr>
        <w:instrText xml:space="preserve"> SEQ level0 \*arabic </w:instrText>
      </w:r>
      <w:r w:rsidRPr="007772C4">
        <w:rPr>
          <w:rFonts w:eastAsia="Times New Roman"/>
          <w:lang w:val="fr-FR"/>
        </w:rPr>
        <w:fldChar w:fldCharType="separate"/>
      </w:r>
      <w:r w:rsidR="007772C4" w:rsidRPr="007772C4">
        <w:rPr>
          <w:rFonts w:eastAsia="Times New Roman"/>
          <w:noProof/>
          <w:lang w:val="fr-FR"/>
        </w:rPr>
        <w:t>50</w:t>
      </w:r>
      <w:r w:rsidRPr="007772C4">
        <w:rPr>
          <w:rFonts w:eastAsia="Times New Roman"/>
          <w:lang w:val="fr-FR"/>
        </w:rPr>
        <w:fldChar w:fldCharType="end"/>
      </w:r>
      <w:r w:rsidRPr="007772C4">
        <w:rPr>
          <w:rFonts w:eastAsia="Times New Roman"/>
          <w:lang w:val="fr-FR"/>
        </w:rPr>
        <w:t>.  </w:t>
      </w:r>
      <w:r w:rsidR="00F518D2" w:rsidRPr="007772C4">
        <w:rPr>
          <w:rFonts w:eastAsia="Times New Roman"/>
          <w:lang w:val="fr-FR"/>
        </w:rPr>
        <w:t xml:space="preserve">La Cour rappelle </w:t>
      </w:r>
      <w:r w:rsidR="00C930BD" w:rsidRPr="007772C4">
        <w:rPr>
          <w:rFonts w:eastAsia="Times New Roman"/>
          <w:lang w:val="fr-FR"/>
        </w:rPr>
        <w:t xml:space="preserve">à nouveau </w:t>
      </w:r>
      <w:r w:rsidR="00F518D2" w:rsidRPr="007772C4">
        <w:rPr>
          <w:rFonts w:eastAsia="Times New Roman"/>
          <w:lang w:val="fr-FR"/>
        </w:rPr>
        <w:t>que, dans chaque affaire où le problème de l</w:t>
      </w:r>
      <w:r w:rsidR="007772C4" w:rsidRPr="007772C4">
        <w:rPr>
          <w:rFonts w:eastAsia="Times New Roman"/>
          <w:lang w:val="fr-FR"/>
        </w:rPr>
        <w:t>’</w:t>
      </w:r>
      <w:r w:rsidR="00F518D2" w:rsidRPr="007772C4">
        <w:rPr>
          <w:rFonts w:eastAsia="Times New Roman"/>
          <w:lang w:val="fr-FR"/>
        </w:rPr>
        <w:t>équité de la procédure se pose en rapport avec la déposition d</w:t>
      </w:r>
      <w:r w:rsidR="007772C4" w:rsidRPr="007772C4">
        <w:rPr>
          <w:rFonts w:eastAsia="Times New Roman"/>
          <w:lang w:val="fr-FR"/>
        </w:rPr>
        <w:t>’</w:t>
      </w:r>
      <w:r w:rsidR="00F518D2" w:rsidRPr="007772C4">
        <w:rPr>
          <w:rFonts w:eastAsia="Times New Roman"/>
          <w:lang w:val="fr-FR"/>
        </w:rPr>
        <w:t>un témoin absent, il s</w:t>
      </w:r>
      <w:r w:rsidR="007772C4" w:rsidRPr="007772C4">
        <w:rPr>
          <w:rFonts w:eastAsia="Times New Roman"/>
          <w:lang w:val="fr-FR"/>
        </w:rPr>
        <w:t>’</w:t>
      </w:r>
      <w:r w:rsidR="00F518D2" w:rsidRPr="007772C4">
        <w:rPr>
          <w:rFonts w:eastAsia="Times New Roman"/>
          <w:lang w:val="fr-FR"/>
        </w:rPr>
        <w:t>agit de savoir s</w:t>
      </w:r>
      <w:r w:rsidR="007772C4" w:rsidRPr="007772C4">
        <w:rPr>
          <w:rFonts w:eastAsia="Times New Roman"/>
          <w:lang w:val="fr-FR"/>
        </w:rPr>
        <w:t>’</w:t>
      </w:r>
      <w:r w:rsidR="00F518D2" w:rsidRPr="007772C4">
        <w:rPr>
          <w:rFonts w:eastAsia="Times New Roman"/>
          <w:lang w:val="fr-FR"/>
        </w:rPr>
        <w:t xml:space="preserve">il existe des éléments suffisamment compensateurs des inconvénients </w:t>
      </w:r>
      <w:r w:rsidR="00E60E52" w:rsidRPr="007772C4">
        <w:rPr>
          <w:rFonts w:eastAsia="Times New Roman"/>
          <w:lang w:val="fr-FR"/>
        </w:rPr>
        <w:t>que son admission fait subi</w:t>
      </w:r>
      <w:r w:rsidR="00CD05FB" w:rsidRPr="007772C4">
        <w:rPr>
          <w:rFonts w:eastAsia="Times New Roman"/>
          <w:lang w:val="fr-FR"/>
        </w:rPr>
        <w:t>r</w:t>
      </w:r>
      <w:r w:rsidR="00E60E52" w:rsidRPr="007772C4">
        <w:rPr>
          <w:rFonts w:eastAsia="Times New Roman"/>
          <w:lang w:val="fr-FR"/>
        </w:rPr>
        <w:t xml:space="preserve"> à</w:t>
      </w:r>
      <w:r w:rsidR="00F518D2" w:rsidRPr="007772C4">
        <w:rPr>
          <w:rFonts w:eastAsia="Times New Roman"/>
          <w:lang w:val="fr-FR"/>
        </w:rPr>
        <w:t xml:space="preserve"> la défense, </w:t>
      </w:r>
      <w:r w:rsidR="00F518D2" w:rsidRPr="007772C4">
        <w:rPr>
          <w:rFonts w:eastAsia="Times New Roman"/>
          <w:lang w:val="fr-FR"/>
        </w:rPr>
        <w:lastRenderedPageBreak/>
        <w:t xml:space="preserve">notamment des garanties procédurales solides permettant une appréciation correcte et équitable de la fiabilité </w:t>
      </w:r>
      <w:r w:rsidR="00E60E52" w:rsidRPr="007772C4">
        <w:rPr>
          <w:rFonts w:eastAsia="Times New Roman"/>
          <w:lang w:val="fr-FR"/>
        </w:rPr>
        <w:t>d</w:t>
      </w:r>
      <w:r w:rsidR="007772C4" w:rsidRPr="007772C4">
        <w:rPr>
          <w:rFonts w:eastAsia="Times New Roman"/>
          <w:lang w:val="fr-FR"/>
        </w:rPr>
        <w:t>’</w:t>
      </w:r>
      <w:r w:rsidR="00E60E52" w:rsidRPr="007772C4">
        <w:rPr>
          <w:rFonts w:eastAsia="Times New Roman"/>
          <w:lang w:val="fr-FR"/>
        </w:rPr>
        <w:t>une telle preuve</w:t>
      </w:r>
      <w:r w:rsidR="00F518D2" w:rsidRPr="007772C4">
        <w:rPr>
          <w:rFonts w:eastAsia="Times New Roman"/>
          <w:lang w:val="fr-FR"/>
        </w:rPr>
        <w:t>. L</w:t>
      </w:r>
      <w:r w:rsidR="007772C4" w:rsidRPr="007772C4">
        <w:rPr>
          <w:rFonts w:eastAsia="Times New Roman"/>
          <w:lang w:val="fr-FR"/>
        </w:rPr>
        <w:t>’</w:t>
      </w:r>
      <w:r w:rsidR="00F518D2" w:rsidRPr="007772C4">
        <w:rPr>
          <w:rFonts w:eastAsia="Times New Roman"/>
          <w:lang w:val="fr-FR"/>
        </w:rPr>
        <w:t xml:space="preserve">examen de cette question permet de vérifier si la déposition du témoin absent est suffisamment fiable, compte tenu de son importance dans la cause, pour </w:t>
      </w:r>
      <w:r w:rsidR="00340635" w:rsidRPr="007772C4">
        <w:rPr>
          <w:rFonts w:eastAsia="Times New Roman"/>
          <w:lang w:val="fr-FR"/>
        </w:rPr>
        <w:t>qu</w:t>
      </w:r>
      <w:r w:rsidR="007772C4" w:rsidRPr="007772C4">
        <w:rPr>
          <w:rFonts w:eastAsia="Times New Roman"/>
          <w:lang w:val="fr-FR"/>
        </w:rPr>
        <w:t>’</w:t>
      </w:r>
      <w:r w:rsidR="00F518D2" w:rsidRPr="007772C4">
        <w:rPr>
          <w:rFonts w:eastAsia="Times New Roman"/>
          <w:lang w:val="fr-FR"/>
        </w:rPr>
        <w:t xml:space="preserve">une condamnation </w:t>
      </w:r>
      <w:r w:rsidR="00340635" w:rsidRPr="007772C4">
        <w:rPr>
          <w:rFonts w:eastAsia="Times New Roman"/>
          <w:lang w:val="fr-FR"/>
        </w:rPr>
        <w:t xml:space="preserve">puisse être prononcée </w:t>
      </w:r>
      <w:r w:rsidR="00F518D2" w:rsidRPr="007772C4">
        <w:rPr>
          <w:rFonts w:eastAsia="Times New Roman"/>
          <w:lang w:val="fr-FR"/>
        </w:rPr>
        <w:t>(</w:t>
      </w:r>
      <w:r w:rsidR="00F518D2" w:rsidRPr="007772C4">
        <w:rPr>
          <w:rFonts w:eastAsia="Times New Roman"/>
          <w:i/>
          <w:lang w:val="fr-FR"/>
        </w:rPr>
        <w:t>Al-</w:t>
      </w:r>
      <w:proofErr w:type="spellStart"/>
      <w:r w:rsidR="00F518D2" w:rsidRPr="007772C4">
        <w:rPr>
          <w:rFonts w:eastAsia="Times New Roman"/>
          <w:i/>
          <w:lang w:val="fr-FR"/>
        </w:rPr>
        <w:t>Khawaja</w:t>
      </w:r>
      <w:proofErr w:type="spellEnd"/>
      <w:r w:rsidR="00F518D2" w:rsidRPr="007772C4">
        <w:rPr>
          <w:rFonts w:eastAsia="Times New Roman"/>
          <w:i/>
          <w:lang w:val="fr-FR"/>
        </w:rPr>
        <w:t xml:space="preserve"> et </w:t>
      </w:r>
      <w:proofErr w:type="spellStart"/>
      <w:r w:rsidR="00F518D2" w:rsidRPr="007772C4">
        <w:rPr>
          <w:rFonts w:eastAsia="Times New Roman"/>
          <w:i/>
          <w:lang w:val="fr-FR"/>
        </w:rPr>
        <w:t>Tahery</w:t>
      </w:r>
      <w:proofErr w:type="spellEnd"/>
      <w:r w:rsidR="00F518D2" w:rsidRPr="007772C4">
        <w:rPr>
          <w:rFonts w:eastAsia="Times New Roman"/>
          <w:lang w:val="fr-FR"/>
        </w:rPr>
        <w:t>, précité, § 147).</w:t>
      </w:r>
    </w:p>
    <w:p w:rsidR="00F518D2" w:rsidRPr="007772C4" w:rsidRDefault="00440CB7" w:rsidP="007772C4">
      <w:pPr>
        <w:pStyle w:val="ECHRPara"/>
        <w:rPr>
          <w:rFonts w:eastAsia="Times New Roman"/>
          <w:lang w:val="fr-FR"/>
        </w:rPr>
      </w:pPr>
      <w:r w:rsidRPr="007772C4">
        <w:rPr>
          <w:rFonts w:eastAsia="Times New Roman"/>
          <w:lang w:val="fr-FR"/>
        </w:rPr>
        <w:fldChar w:fldCharType="begin"/>
      </w:r>
      <w:r w:rsidRPr="007772C4">
        <w:rPr>
          <w:rFonts w:eastAsia="Times New Roman"/>
          <w:lang w:val="fr-FR"/>
        </w:rPr>
        <w:instrText xml:space="preserve"> SEQ level0 \*arabic </w:instrText>
      </w:r>
      <w:r w:rsidRPr="007772C4">
        <w:rPr>
          <w:rFonts w:eastAsia="Times New Roman"/>
          <w:lang w:val="fr-FR"/>
        </w:rPr>
        <w:fldChar w:fldCharType="separate"/>
      </w:r>
      <w:r w:rsidR="007772C4" w:rsidRPr="007772C4">
        <w:rPr>
          <w:rFonts w:eastAsia="Times New Roman"/>
          <w:noProof/>
          <w:lang w:val="fr-FR"/>
        </w:rPr>
        <w:t>51</w:t>
      </w:r>
      <w:r w:rsidRPr="007772C4">
        <w:rPr>
          <w:rFonts w:eastAsia="Times New Roman"/>
          <w:lang w:val="fr-FR"/>
        </w:rPr>
        <w:fldChar w:fldCharType="end"/>
      </w:r>
      <w:r w:rsidRPr="007772C4">
        <w:rPr>
          <w:rFonts w:eastAsia="Times New Roman"/>
          <w:lang w:val="fr-FR"/>
        </w:rPr>
        <w:t>.  </w:t>
      </w:r>
      <w:proofErr w:type="gramStart"/>
      <w:r w:rsidR="00F518D2" w:rsidRPr="007772C4">
        <w:rPr>
          <w:rFonts w:eastAsia="Times New Roman"/>
          <w:lang w:val="fr-FR"/>
        </w:rPr>
        <w:t xml:space="preserve">La Cour </w:t>
      </w:r>
      <w:r w:rsidR="00C930BD" w:rsidRPr="007772C4">
        <w:rPr>
          <w:rFonts w:eastAsia="Times New Roman"/>
          <w:lang w:val="fr-FR"/>
        </w:rPr>
        <w:t xml:space="preserve">rappelle aussi </w:t>
      </w:r>
      <w:r w:rsidR="00F518D2" w:rsidRPr="007772C4">
        <w:rPr>
          <w:rFonts w:eastAsia="Times New Roman"/>
          <w:lang w:val="fr-FR"/>
        </w:rPr>
        <w:t>que</w:t>
      </w:r>
      <w:r w:rsidR="00A62942" w:rsidRPr="007772C4">
        <w:rPr>
          <w:rFonts w:eastAsia="Times New Roman"/>
          <w:lang w:val="fr-FR"/>
        </w:rPr>
        <w:t>, dans ce contexte,</w:t>
      </w:r>
      <w:r w:rsidR="00F518D2" w:rsidRPr="007772C4">
        <w:rPr>
          <w:rFonts w:eastAsia="Times New Roman"/>
          <w:lang w:val="fr-FR"/>
        </w:rPr>
        <w:t xml:space="preserve"> le droit d</w:t>
      </w:r>
      <w:r w:rsidR="007772C4" w:rsidRPr="007772C4">
        <w:rPr>
          <w:rFonts w:eastAsia="Times New Roman"/>
          <w:lang w:val="fr-FR"/>
        </w:rPr>
        <w:t>’</w:t>
      </w:r>
      <w:r w:rsidR="00F518D2" w:rsidRPr="007772C4">
        <w:rPr>
          <w:rFonts w:eastAsia="Times New Roman"/>
          <w:lang w:val="fr-FR"/>
        </w:rPr>
        <w:t>interroger ou de faire interroger les témoins à charge constitue une garantie du droit à l</w:t>
      </w:r>
      <w:r w:rsidR="007772C4" w:rsidRPr="007772C4">
        <w:rPr>
          <w:rFonts w:eastAsia="Times New Roman"/>
          <w:lang w:val="fr-FR"/>
        </w:rPr>
        <w:t>’</w:t>
      </w:r>
      <w:r w:rsidR="00F518D2" w:rsidRPr="007772C4">
        <w:rPr>
          <w:rFonts w:eastAsia="Times New Roman"/>
          <w:lang w:val="fr-FR"/>
        </w:rPr>
        <w:t>équité de la procédure, en ce que non seulement il vise l</w:t>
      </w:r>
      <w:r w:rsidR="007772C4" w:rsidRPr="007772C4">
        <w:rPr>
          <w:rFonts w:eastAsia="Times New Roman"/>
          <w:lang w:val="fr-FR"/>
        </w:rPr>
        <w:t>’</w:t>
      </w:r>
      <w:r w:rsidR="00F518D2" w:rsidRPr="007772C4">
        <w:rPr>
          <w:rFonts w:eastAsia="Times New Roman"/>
          <w:lang w:val="fr-FR"/>
        </w:rPr>
        <w:t>égalité des armes entre l</w:t>
      </w:r>
      <w:r w:rsidR="007772C4" w:rsidRPr="007772C4">
        <w:rPr>
          <w:rFonts w:eastAsia="Times New Roman"/>
          <w:lang w:val="fr-FR"/>
        </w:rPr>
        <w:t>’</w:t>
      </w:r>
      <w:r w:rsidR="00F518D2" w:rsidRPr="007772C4">
        <w:rPr>
          <w:rFonts w:eastAsia="Times New Roman"/>
          <w:lang w:val="fr-FR"/>
        </w:rPr>
        <w:t>accusation et la défense, mais encore il fournit à la défense et au système judiciaire un instrument essentiel de contrôle de la crédibilité et de la fiabilité des dépositions incriminantes et, par-là, du bien-fondé des chefs d</w:t>
      </w:r>
      <w:r w:rsidR="007772C4" w:rsidRPr="007772C4">
        <w:rPr>
          <w:rFonts w:eastAsia="Times New Roman"/>
          <w:lang w:val="fr-FR"/>
        </w:rPr>
        <w:t>’</w:t>
      </w:r>
      <w:r w:rsidR="00F518D2" w:rsidRPr="007772C4">
        <w:rPr>
          <w:rFonts w:eastAsia="Times New Roman"/>
          <w:lang w:val="fr-FR"/>
        </w:rPr>
        <w:t>accusation (</w:t>
      </w:r>
      <w:proofErr w:type="spellStart"/>
      <w:r w:rsidR="00F518D2" w:rsidRPr="007772C4">
        <w:rPr>
          <w:rFonts w:eastAsia="Times New Roman"/>
          <w:i/>
          <w:lang w:val="fr-FR"/>
        </w:rPr>
        <w:t>Tseber</w:t>
      </w:r>
      <w:proofErr w:type="spellEnd"/>
      <w:r w:rsidR="00F518D2" w:rsidRPr="007772C4">
        <w:rPr>
          <w:rFonts w:eastAsia="Times New Roman"/>
          <w:lang w:val="fr-FR"/>
        </w:rPr>
        <w:t xml:space="preserve">, </w:t>
      </w:r>
      <w:r w:rsidR="006229EA" w:rsidRPr="007772C4">
        <w:rPr>
          <w:rFonts w:eastAsia="Times New Roman"/>
          <w:lang w:val="fr-FR"/>
        </w:rPr>
        <w:t>précité</w:t>
      </w:r>
      <w:r w:rsidR="00F518D2" w:rsidRPr="007772C4">
        <w:rPr>
          <w:rFonts w:eastAsia="Times New Roman"/>
          <w:lang w:val="fr-FR"/>
        </w:rPr>
        <w:t xml:space="preserve">, § 59, et </w:t>
      </w:r>
      <w:proofErr w:type="spellStart"/>
      <w:r w:rsidR="00F518D2" w:rsidRPr="007772C4">
        <w:rPr>
          <w:rFonts w:eastAsia="Times New Roman"/>
          <w:i/>
          <w:lang w:val="fr-FR"/>
        </w:rPr>
        <w:t>Sică</w:t>
      </w:r>
      <w:proofErr w:type="spellEnd"/>
      <w:r w:rsidR="00F518D2" w:rsidRPr="007772C4">
        <w:rPr>
          <w:rFonts w:eastAsia="Times New Roman"/>
          <w:i/>
          <w:lang w:val="fr-FR"/>
        </w:rPr>
        <w:t xml:space="preserve"> c. Roumanie</w:t>
      </w:r>
      <w:r w:rsidR="00F518D2" w:rsidRPr="007772C4">
        <w:rPr>
          <w:rFonts w:eastAsia="Times New Roman"/>
          <w:lang w:val="fr-FR"/>
        </w:rPr>
        <w:t>, n</w:t>
      </w:r>
      <w:r w:rsidR="00615CAA" w:rsidRPr="007772C4">
        <w:rPr>
          <w:rFonts w:eastAsia="Times New Roman"/>
          <w:vertAlign w:val="superscript"/>
          <w:lang w:val="fr-FR"/>
        </w:rPr>
        <w:t>o</w:t>
      </w:r>
      <w:r w:rsidR="00F518D2" w:rsidRPr="007772C4">
        <w:rPr>
          <w:rFonts w:eastAsia="Times New Roman"/>
          <w:lang w:val="fr-FR"/>
        </w:rPr>
        <w:t xml:space="preserve"> </w:t>
      </w:r>
      <w:hyperlink r:id="rId27" w:anchor="{&quot;appno&quot;:[&quot;12036/05&quot;]}" w:tgtFrame="_blank" w:history="1">
        <w:r w:rsidR="00F518D2" w:rsidRPr="007772C4">
          <w:rPr>
            <w:rFonts w:eastAsia="Times New Roman"/>
            <w:lang w:val="fr-FR"/>
          </w:rPr>
          <w:t>12036/05</w:t>
        </w:r>
      </w:hyperlink>
      <w:r w:rsidR="00F518D2" w:rsidRPr="007772C4">
        <w:rPr>
          <w:rFonts w:eastAsia="Times New Roman"/>
          <w:lang w:val="fr-FR"/>
        </w:rPr>
        <w:t>, § 69, 9 juillet 2013).</w:t>
      </w:r>
      <w:proofErr w:type="gramEnd"/>
    </w:p>
    <w:p w:rsidR="00F518D2" w:rsidRPr="007772C4" w:rsidRDefault="00440CB7" w:rsidP="007772C4">
      <w:pPr>
        <w:pStyle w:val="ECHRPara"/>
        <w:rPr>
          <w:rFonts w:eastAsia="Times New Roman"/>
          <w:lang w:val="fr-FR"/>
        </w:rPr>
      </w:pPr>
      <w:r w:rsidRPr="007772C4">
        <w:rPr>
          <w:rFonts w:eastAsia="Times New Roman"/>
          <w:lang w:val="fr-FR"/>
        </w:rPr>
        <w:fldChar w:fldCharType="begin"/>
      </w:r>
      <w:r w:rsidRPr="007772C4">
        <w:rPr>
          <w:rFonts w:eastAsia="Times New Roman"/>
          <w:lang w:val="fr-FR"/>
        </w:rPr>
        <w:instrText xml:space="preserve"> SEQ level0 \*arabic </w:instrText>
      </w:r>
      <w:r w:rsidRPr="007772C4">
        <w:rPr>
          <w:rFonts w:eastAsia="Times New Roman"/>
          <w:lang w:val="fr-FR"/>
        </w:rPr>
        <w:fldChar w:fldCharType="separate"/>
      </w:r>
      <w:r w:rsidR="007772C4" w:rsidRPr="007772C4">
        <w:rPr>
          <w:rFonts w:eastAsia="Times New Roman"/>
          <w:noProof/>
          <w:lang w:val="fr-FR"/>
        </w:rPr>
        <w:t>52</w:t>
      </w:r>
      <w:r w:rsidRPr="007772C4">
        <w:rPr>
          <w:rFonts w:eastAsia="Times New Roman"/>
          <w:lang w:val="fr-FR"/>
        </w:rPr>
        <w:fldChar w:fldCharType="end"/>
      </w:r>
      <w:r w:rsidRPr="007772C4">
        <w:rPr>
          <w:rFonts w:eastAsia="Times New Roman"/>
          <w:lang w:val="fr-FR"/>
        </w:rPr>
        <w:t>.  </w:t>
      </w:r>
      <w:r w:rsidR="00F518D2" w:rsidRPr="007772C4">
        <w:rPr>
          <w:rFonts w:eastAsia="Times New Roman"/>
          <w:lang w:val="fr-FR"/>
        </w:rPr>
        <w:t xml:space="preserve">Dans la présente affaire, </w:t>
      </w:r>
      <w:r w:rsidR="00660F87" w:rsidRPr="007772C4">
        <w:rPr>
          <w:rFonts w:eastAsia="Times New Roman"/>
          <w:lang w:val="fr-FR"/>
        </w:rPr>
        <w:t xml:space="preserve">la Cour observe que </w:t>
      </w:r>
      <w:r w:rsidRPr="007772C4">
        <w:rPr>
          <w:rFonts w:eastAsia="Times New Roman"/>
          <w:lang w:val="fr-FR"/>
        </w:rPr>
        <w:t>C.C.</w:t>
      </w:r>
      <w:r w:rsidR="00F518D2" w:rsidRPr="007772C4">
        <w:rPr>
          <w:rFonts w:eastAsia="Times New Roman"/>
          <w:lang w:val="fr-FR"/>
        </w:rPr>
        <w:t xml:space="preserve">, </w:t>
      </w:r>
      <w:r w:rsidR="00C930BD" w:rsidRPr="007772C4">
        <w:rPr>
          <w:rFonts w:eastAsia="Times New Roman"/>
          <w:lang w:val="fr-FR"/>
        </w:rPr>
        <w:t>plaignant</w:t>
      </w:r>
      <w:r w:rsidR="00940E0D" w:rsidRPr="007772C4">
        <w:rPr>
          <w:rFonts w:eastAsia="Times New Roman"/>
          <w:lang w:val="fr-FR"/>
        </w:rPr>
        <w:t xml:space="preserve"> et unique témoin, </w:t>
      </w:r>
      <w:r w:rsidR="00F518D2" w:rsidRPr="007772C4">
        <w:rPr>
          <w:rFonts w:eastAsia="Times New Roman"/>
          <w:lang w:val="fr-FR"/>
        </w:rPr>
        <w:t xml:space="preserve">a été entendu </w:t>
      </w:r>
      <w:r w:rsidR="00F6468B" w:rsidRPr="007772C4">
        <w:rPr>
          <w:rFonts w:eastAsia="Times New Roman"/>
          <w:lang w:val="fr-FR"/>
        </w:rPr>
        <w:t xml:space="preserve">par les </w:t>
      </w:r>
      <w:r w:rsidR="00D20B65" w:rsidRPr="007772C4">
        <w:rPr>
          <w:lang w:val="fr-FR"/>
        </w:rPr>
        <w:t>carabiniers</w:t>
      </w:r>
      <w:r w:rsidR="00F518D2" w:rsidRPr="007772C4">
        <w:rPr>
          <w:rFonts w:eastAsia="Times New Roman"/>
          <w:lang w:val="fr-FR"/>
        </w:rPr>
        <w:t>, mais</w:t>
      </w:r>
      <w:r w:rsidR="00660F87" w:rsidRPr="007772C4">
        <w:rPr>
          <w:rFonts w:eastAsia="Times New Roman"/>
          <w:lang w:val="fr-FR"/>
        </w:rPr>
        <w:t xml:space="preserve"> qu</w:t>
      </w:r>
      <w:r w:rsidR="007772C4" w:rsidRPr="007772C4">
        <w:rPr>
          <w:rFonts w:eastAsia="Times New Roman"/>
          <w:lang w:val="fr-FR"/>
        </w:rPr>
        <w:t>’</w:t>
      </w:r>
      <w:r w:rsidR="00660F87" w:rsidRPr="007772C4">
        <w:rPr>
          <w:rFonts w:eastAsia="Times New Roman"/>
          <w:lang w:val="fr-FR"/>
        </w:rPr>
        <w:t>il</w:t>
      </w:r>
      <w:r w:rsidR="00F518D2" w:rsidRPr="007772C4">
        <w:rPr>
          <w:rFonts w:eastAsia="Times New Roman"/>
          <w:lang w:val="fr-FR"/>
        </w:rPr>
        <w:t xml:space="preserve"> n</w:t>
      </w:r>
      <w:r w:rsidR="007772C4" w:rsidRPr="007772C4">
        <w:rPr>
          <w:rFonts w:eastAsia="Times New Roman"/>
          <w:lang w:val="fr-FR"/>
        </w:rPr>
        <w:t>’</w:t>
      </w:r>
      <w:r w:rsidR="00F518D2" w:rsidRPr="007772C4">
        <w:rPr>
          <w:rFonts w:eastAsia="Times New Roman"/>
          <w:lang w:val="fr-FR"/>
        </w:rPr>
        <w:t>a jamais comparu devant les juridictions du fond. Ni les juges du fond ni le requérant ou son représentant n</w:t>
      </w:r>
      <w:r w:rsidR="007772C4" w:rsidRPr="007772C4">
        <w:rPr>
          <w:rFonts w:eastAsia="Times New Roman"/>
          <w:lang w:val="fr-FR"/>
        </w:rPr>
        <w:t>’</w:t>
      </w:r>
      <w:r w:rsidR="00F518D2" w:rsidRPr="007772C4">
        <w:rPr>
          <w:rFonts w:eastAsia="Times New Roman"/>
          <w:lang w:val="fr-FR"/>
        </w:rPr>
        <w:t>ont donc pu l</w:t>
      </w:r>
      <w:r w:rsidR="007772C4" w:rsidRPr="007772C4">
        <w:rPr>
          <w:rFonts w:eastAsia="Times New Roman"/>
          <w:lang w:val="fr-FR"/>
        </w:rPr>
        <w:t>’</w:t>
      </w:r>
      <w:r w:rsidR="00F518D2" w:rsidRPr="007772C4">
        <w:rPr>
          <w:rFonts w:eastAsia="Times New Roman"/>
          <w:lang w:val="fr-FR"/>
        </w:rPr>
        <w:t xml:space="preserve">observer pendant </w:t>
      </w:r>
      <w:r w:rsidR="00A576D6" w:rsidRPr="007772C4">
        <w:rPr>
          <w:rFonts w:eastAsia="Times New Roman"/>
          <w:lang w:val="fr-FR"/>
        </w:rPr>
        <w:t xml:space="preserve">son </w:t>
      </w:r>
      <w:r w:rsidR="00C8445A" w:rsidRPr="007772C4">
        <w:rPr>
          <w:rFonts w:eastAsia="Times New Roman"/>
          <w:lang w:val="fr-FR"/>
        </w:rPr>
        <w:t>audition</w:t>
      </w:r>
      <w:r w:rsidR="00A576D6" w:rsidRPr="007772C4">
        <w:rPr>
          <w:rFonts w:eastAsia="Times New Roman"/>
          <w:lang w:val="fr-FR"/>
        </w:rPr>
        <w:t xml:space="preserve"> </w:t>
      </w:r>
      <w:r w:rsidR="00F518D2" w:rsidRPr="007772C4">
        <w:rPr>
          <w:rFonts w:eastAsia="Times New Roman"/>
          <w:lang w:val="fr-FR"/>
        </w:rPr>
        <w:t>pour apprécier sa crédibilité et la fiabilité de sa déposition (</w:t>
      </w:r>
      <w:proofErr w:type="spellStart"/>
      <w:r w:rsidR="00F518D2" w:rsidRPr="007772C4">
        <w:rPr>
          <w:rFonts w:eastAsia="Times New Roman"/>
          <w:i/>
          <w:lang w:val="fr-FR"/>
        </w:rPr>
        <w:t>Tseber</w:t>
      </w:r>
      <w:proofErr w:type="spellEnd"/>
      <w:r w:rsidR="00F518D2" w:rsidRPr="007772C4">
        <w:rPr>
          <w:rFonts w:eastAsia="Times New Roman"/>
          <w:lang w:val="fr-FR"/>
        </w:rPr>
        <w:t xml:space="preserve">, précité, § 60, </w:t>
      </w:r>
      <w:proofErr w:type="spellStart"/>
      <w:r w:rsidR="00F518D2" w:rsidRPr="007772C4">
        <w:rPr>
          <w:rFonts w:eastAsia="Times New Roman"/>
          <w:i/>
          <w:lang w:val="fr-FR"/>
        </w:rPr>
        <w:t>Sică</w:t>
      </w:r>
      <w:proofErr w:type="spellEnd"/>
      <w:r w:rsidR="00F518D2" w:rsidRPr="007772C4">
        <w:rPr>
          <w:rFonts w:eastAsia="Times New Roman"/>
          <w:i/>
          <w:lang w:val="fr-FR"/>
        </w:rPr>
        <w:t>,</w:t>
      </w:r>
      <w:r w:rsidR="00F518D2" w:rsidRPr="007772C4">
        <w:rPr>
          <w:rFonts w:eastAsia="Times New Roman"/>
          <w:lang w:val="fr-FR"/>
        </w:rPr>
        <w:t xml:space="preserve"> précité, § 70, </w:t>
      </w:r>
      <w:proofErr w:type="spellStart"/>
      <w:r w:rsidR="00F518D2" w:rsidRPr="007772C4">
        <w:rPr>
          <w:rFonts w:eastAsia="Times New Roman"/>
          <w:i/>
          <w:lang w:val="fr-FR"/>
        </w:rPr>
        <w:t>Vronchenko</w:t>
      </w:r>
      <w:proofErr w:type="spellEnd"/>
      <w:r w:rsidR="00F518D2" w:rsidRPr="007772C4">
        <w:rPr>
          <w:rFonts w:eastAsia="Times New Roman"/>
          <w:i/>
          <w:lang w:val="fr-FR"/>
        </w:rPr>
        <w:t xml:space="preserve"> c. Estonie,</w:t>
      </w:r>
      <w:r w:rsidR="00F518D2" w:rsidRPr="007772C4">
        <w:rPr>
          <w:rFonts w:eastAsia="Times New Roman"/>
          <w:lang w:val="fr-FR"/>
        </w:rPr>
        <w:t xml:space="preserve"> n</w:t>
      </w:r>
      <w:r w:rsidR="00615CAA" w:rsidRPr="007772C4">
        <w:rPr>
          <w:rFonts w:eastAsia="Times New Roman"/>
          <w:vertAlign w:val="superscript"/>
          <w:lang w:val="fr-FR"/>
        </w:rPr>
        <w:t>o</w:t>
      </w:r>
      <w:r w:rsidR="00F518D2" w:rsidRPr="007772C4">
        <w:rPr>
          <w:rFonts w:eastAsia="Times New Roman"/>
          <w:lang w:val="fr-FR"/>
        </w:rPr>
        <w:t xml:space="preserve"> </w:t>
      </w:r>
      <w:hyperlink r:id="rId28" w:anchor="{&quot;appno&quot;:[&quot;59632/09&quot;]}" w:tgtFrame="_blank" w:history="1">
        <w:r w:rsidR="00F518D2" w:rsidRPr="007772C4">
          <w:rPr>
            <w:rFonts w:eastAsia="Times New Roman"/>
            <w:lang w:val="fr-FR"/>
          </w:rPr>
          <w:t>59632/09</w:t>
        </w:r>
      </w:hyperlink>
      <w:r w:rsidR="00F518D2" w:rsidRPr="007772C4">
        <w:rPr>
          <w:rFonts w:eastAsia="Times New Roman"/>
          <w:lang w:val="fr-FR"/>
        </w:rPr>
        <w:t xml:space="preserve">, § 65, 18 juillet 2013, et </w:t>
      </w:r>
      <w:proofErr w:type="spellStart"/>
      <w:r w:rsidR="00F518D2" w:rsidRPr="007772C4">
        <w:rPr>
          <w:rFonts w:eastAsia="Times New Roman"/>
          <w:i/>
          <w:lang w:val="fr-FR"/>
        </w:rPr>
        <w:t>Rosin</w:t>
      </w:r>
      <w:proofErr w:type="spellEnd"/>
      <w:r w:rsidR="00F518D2" w:rsidRPr="007772C4">
        <w:rPr>
          <w:rFonts w:eastAsia="Times New Roman"/>
          <w:i/>
          <w:lang w:val="fr-FR"/>
        </w:rPr>
        <w:t xml:space="preserve"> c. Estonie</w:t>
      </w:r>
      <w:r w:rsidR="00F518D2" w:rsidRPr="007772C4">
        <w:rPr>
          <w:rFonts w:eastAsia="Times New Roman"/>
          <w:lang w:val="fr-FR"/>
        </w:rPr>
        <w:t>, n</w:t>
      </w:r>
      <w:r w:rsidR="00615CAA" w:rsidRPr="007772C4">
        <w:rPr>
          <w:rFonts w:eastAsia="Times New Roman"/>
          <w:vertAlign w:val="superscript"/>
          <w:lang w:val="fr-FR"/>
        </w:rPr>
        <w:t>o</w:t>
      </w:r>
      <w:r w:rsidR="00F518D2" w:rsidRPr="007772C4">
        <w:rPr>
          <w:rFonts w:eastAsia="Times New Roman"/>
          <w:lang w:val="fr-FR"/>
        </w:rPr>
        <w:t xml:space="preserve"> </w:t>
      </w:r>
      <w:hyperlink r:id="rId29" w:anchor="{&quot;appno&quot;:[&quot;26540/08&quot;]}" w:tgtFrame="_blank" w:history="1">
        <w:r w:rsidR="00F518D2" w:rsidRPr="007772C4">
          <w:rPr>
            <w:rFonts w:eastAsia="Times New Roman"/>
            <w:lang w:val="fr-FR"/>
          </w:rPr>
          <w:t>26540/08</w:t>
        </w:r>
      </w:hyperlink>
      <w:r w:rsidR="00F518D2" w:rsidRPr="007772C4">
        <w:rPr>
          <w:rFonts w:eastAsia="Times New Roman"/>
          <w:lang w:val="fr-FR"/>
        </w:rPr>
        <w:t>, § 62, 19 décembre 2013).</w:t>
      </w:r>
    </w:p>
    <w:p w:rsidR="00186DBF" w:rsidRPr="007772C4" w:rsidRDefault="00F6468B" w:rsidP="007772C4">
      <w:pPr>
        <w:pStyle w:val="ECHRPara"/>
        <w:rPr>
          <w:lang w:val="fr-FR"/>
        </w:rPr>
      </w:pPr>
      <w:r w:rsidRPr="007772C4">
        <w:rPr>
          <w:lang w:val="fr-FR"/>
        </w:rPr>
        <w:fldChar w:fldCharType="begin"/>
      </w:r>
      <w:r w:rsidRPr="007772C4">
        <w:rPr>
          <w:lang w:val="fr-FR"/>
        </w:rPr>
        <w:instrText xml:space="preserve"> SEQ level0 \*arabic </w:instrText>
      </w:r>
      <w:r w:rsidRPr="007772C4">
        <w:rPr>
          <w:lang w:val="fr-FR"/>
        </w:rPr>
        <w:fldChar w:fldCharType="separate"/>
      </w:r>
      <w:r w:rsidR="007772C4" w:rsidRPr="007772C4">
        <w:rPr>
          <w:noProof/>
          <w:lang w:val="fr-FR"/>
        </w:rPr>
        <w:t>53</w:t>
      </w:r>
      <w:r w:rsidRPr="007772C4">
        <w:rPr>
          <w:lang w:val="fr-FR"/>
        </w:rPr>
        <w:fldChar w:fldCharType="end"/>
      </w:r>
      <w:r w:rsidRPr="007772C4">
        <w:rPr>
          <w:lang w:val="fr-FR"/>
        </w:rPr>
        <w:t>.  </w:t>
      </w:r>
      <w:r w:rsidR="00E225C4" w:rsidRPr="007772C4">
        <w:rPr>
          <w:lang w:val="fr-FR"/>
        </w:rPr>
        <w:t xml:space="preserve">La Cour relève </w:t>
      </w:r>
      <w:r w:rsidR="006229EA" w:rsidRPr="007772C4">
        <w:rPr>
          <w:lang w:val="fr-FR"/>
        </w:rPr>
        <w:t xml:space="preserve">ensuite </w:t>
      </w:r>
      <w:r w:rsidR="00E225C4" w:rsidRPr="007772C4">
        <w:rPr>
          <w:lang w:val="fr-FR"/>
        </w:rPr>
        <w:t xml:space="preserve">que les juridictions </w:t>
      </w:r>
      <w:r w:rsidR="00C8445A" w:rsidRPr="007772C4">
        <w:rPr>
          <w:lang w:val="fr-FR"/>
        </w:rPr>
        <w:t>internes</w:t>
      </w:r>
      <w:r w:rsidR="00E225C4" w:rsidRPr="007772C4">
        <w:rPr>
          <w:lang w:val="fr-FR"/>
        </w:rPr>
        <w:t xml:space="preserve"> </w:t>
      </w:r>
      <w:r w:rsidR="006229EA" w:rsidRPr="007772C4">
        <w:rPr>
          <w:lang w:val="fr-FR"/>
        </w:rPr>
        <w:t>se s</w:t>
      </w:r>
      <w:r w:rsidR="00E225C4" w:rsidRPr="007772C4">
        <w:rPr>
          <w:lang w:val="fr-FR"/>
        </w:rPr>
        <w:t>ont appuyé</w:t>
      </w:r>
      <w:r w:rsidR="006229EA" w:rsidRPr="007772C4">
        <w:rPr>
          <w:lang w:val="fr-FR"/>
        </w:rPr>
        <w:t>es</w:t>
      </w:r>
      <w:r w:rsidR="009247BD" w:rsidRPr="007772C4">
        <w:rPr>
          <w:lang w:val="fr-FR"/>
        </w:rPr>
        <w:t>, en sus des déclarations litigieuses,</w:t>
      </w:r>
      <w:r w:rsidR="00E225C4" w:rsidRPr="007772C4">
        <w:rPr>
          <w:lang w:val="fr-FR"/>
        </w:rPr>
        <w:t xml:space="preserve"> </w:t>
      </w:r>
      <w:r w:rsidR="00186DBF" w:rsidRPr="007772C4">
        <w:rPr>
          <w:lang w:val="fr-FR"/>
        </w:rPr>
        <w:t xml:space="preserve">sur </w:t>
      </w:r>
      <w:r w:rsidR="00E225C4" w:rsidRPr="007772C4">
        <w:rPr>
          <w:lang w:val="fr-FR"/>
        </w:rPr>
        <w:t xml:space="preserve">le témoignage du </w:t>
      </w:r>
      <w:r w:rsidR="004035ED" w:rsidRPr="007772C4">
        <w:rPr>
          <w:lang w:val="fr-FR"/>
        </w:rPr>
        <w:t xml:space="preserve">carabinier </w:t>
      </w:r>
      <w:r w:rsidR="00E225C4" w:rsidRPr="007772C4">
        <w:rPr>
          <w:lang w:val="fr-FR"/>
        </w:rPr>
        <w:t>L.</w:t>
      </w:r>
      <w:r w:rsidR="00047372" w:rsidRPr="007772C4">
        <w:rPr>
          <w:lang w:val="fr-FR"/>
        </w:rPr>
        <w:t>R</w:t>
      </w:r>
      <w:r w:rsidR="00186DBF" w:rsidRPr="007772C4">
        <w:rPr>
          <w:lang w:val="fr-FR"/>
        </w:rPr>
        <w:t>.</w:t>
      </w:r>
      <w:r w:rsidR="00E225C4" w:rsidRPr="007772C4">
        <w:rPr>
          <w:lang w:val="fr-FR"/>
        </w:rPr>
        <w:t xml:space="preserve"> qui avait </w:t>
      </w:r>
      <w:r w:rsidR="00186DBF" w:rsidRPr="007772C4">
        <w:rPr>
          <w:lang w:val="fr-FR"/>
        </w:rPr>
        <w:t xml:space="preserve">relaté </w:t>
      </w:r>
      <w:r w:rsidR="00F821EB" w:rsidRPr="007772C4">
        <w:rPr>
          <w:lang w:val="fr-FR"/>
        </w:rPr>
        <w:t>au tribunal</w:t>
      </w:r>
      <w:r w:rsidR="006945A3" w:rsidRPr="007772C4">
        <w:rPr>
          <w:lang w:val="fr-FR"/>
        </w:rPr>
        <w:t>,</w:t>
      </w:r>
      <w:r w:rsidR="00F821EB" w:rsidRPr="007772C4">
        <w:rPr>
          <w:lang w:val="fr-FR"/>
        </w:rPr>
        <w:t xml:space="preserve"> </w:t>
      </w:r>
      <w:r w:rsidR="006945A3" w:rsidRPr="007772C4">
        <w:rPr>
          <w:lang w:val="fr-FR"/>
        </w:rPr>
        <w:t>lors de</w:t>
      </w:r>
      <w:r w:rsidR="00F821EB" w:rsidRPr="007772C4">
        <w:rPr>
          <w:lang w:val="fr-FR"/>
        </w:rPr>
        <w:t xml:space="preserve"> l</w:t>
      </w:r>
      <w:r w:rsidR="007772C4" w:rsidRPr="007772C4">
        <w:rPr>
          <w:lang w:val="fr-FR"/>
        </w:rPr>
        <w:t>’</w:t>
      </w:r>
      <w:r w:rsidR="00F821EB" w:rsidRPr="007772C4">
        <w:rPr>
          <w:lang w:val="fr-FR"/>
        </w:rPr>
        <w:t>audience du</w:t>
      </w:r>
      <w:r w:rsidR="00186DBF" w:rsidRPr="007772C4">
        <w:rPr>
          <w:lang w:val="fr-FR"/>
        </w:rPr>
        <w:t xml:space="preserve"> </w:t>
      </w:r>
      <w:r w:rsidR="00F821EB" w:rsidRPr="007772C4">
        <w:rPr>
          <w:lang w:val="fr-FR"/>
        </w:rPr>
        <w:t>6 décembre 2004</w:t>
      </w:r>
      <w:r w:rsidR="006945A3" w:rsidRPr="007772C4">
        <w:rPr>
          <w:lang w:val="fr-FR"/>
        </w:rPr>
        <w:t>,</w:t>
      </w:r>
      <w:r w:rsidR="00F821EB" w:rsidRPr="007772C4">
        <w:rPr>
          <w:lang w:val="fr-FR"/>
        </w:rPr>
        <w:t xml:space="preserve"> </w:t>
      </w:r>
      <w:r w:rsidR="00186DBF" w:rsidRPr="007772C4">
        <w:rPr>
          <w:lang w:val="fr-FR"/>
        </w:rPr>
        <w:t xml:space="preserve">les modalités du déroulement de la reconnaissance photographique </w:t>
      </w:r>
      <w:r w:rsidR="003F33AC" w:rsidRPr="007772C4">
        <w:rPr>
          <w:lang w:val="fr-FR"/>
        </w:rPr>
        <w:t>de l</w:t>
      </w:r>
      <w:r w:rsidR="007772C4" w:rsidRPr="007772C4">
        <w:rPr>
          <w:lang w:val="fr-FR"/>
        </w:rPr>
        <w:t>’</w:t>
      </w:r>
      <w:r w:rsidR="003F33AC" w:rsidRPr="007772C4">
        <w:rPr>
          <w:lang w:val="fr-FR"/>
        </w:rPr>
        <w:t>intéressé</w:t>
      </w:r>
      <w:r w:rsidR="00186DBF" w:rsidRPr="007772C4">
        <w:rPr>
          <w:lang w:val="fr-FR"/>
        </w:rPr>
        <w:t xml:space="preserve"> et </w:t>
      </w:r>
      <w:r w:rsidR="00F821EB" w:rsidRPr="007772C4">
        <w:rPr>
          <w:lang w:val="fr-FR"/>
        </w:rPr>
        <w:t xml:space="preserve">de son </w:t>
      </w:r>
      <w:r w:rsidR="00186DBF" w:rsidRPr="007772C4">
        <w:rPr>
          <w:lang w:val="fr-FR"/>
        </w:rPr>
        <w:t>co</w:t>
      </w:r>
      <w:r w:rsidR="00F821EB" w:rsidRPr="007772C4">
        <w:rPr>
          <w:lang w:val="fr-FR"/>
        </w:rPr>
        <w:t>ï</w:t>
      </w:r>
      <w:r w:rsidR="00186DBF" w:rsidRPr="007772C4">
        <w:rPr>
          <w:lang w:val="fr-FR"/>
        </w:rPr>
        <w:t>nculpé.</w:t>
      </w:r>
    </w:p>
    <w:p w:rsidR="00BF47D9" w:rsidRPr="007772C4" w:rsidRDefault="00866395" w:rsidP="007772C4">
      <w:pPr>
        <w:pStyle w:val="ECHRPara"/>
        <w:rPr>
          <w:rFonts w:eastAsia="Times New Roman"/>
          <w:lang w:val="fr-FR"/>
        </w:rPr>
      </w:pPr>
      <w:r w:rsidRPr="007772C4">
        <w:rPr>
          <w:lang w:val="fr-FR"/>
        </w:rPr>
        <w:fldChar w:fldCharType="begin"/>
      </w:r>
      <w:r w:rsidRPr="007772C4">
        <w:rPr>
          <w:lang w:val="fr-FR"/>
        </w:rPr>
        <w:instrText xml:space="preserve"> SEQ level0 \*arabic </w:instrText>
      </w:r>
      <w:r w:rsidRPr="007772C4">
        <w:rPr>
          <w:lang w:val="fr-FR"/>
        </w:rPr>
        <w:fldChar w:fldCharType="separate"/>
      </w:r>
      <w:r w:rsidR="007772C4" w:rsidRPr="007772C4">
        <w:rPr>
          <w:noProof/>
          <w:lang w:val="fr-FR"/>
        </w:rPr>
        <w:t>54</w:t>
      </w:r>
      <w:r w:rsidRPr="007772C4">
        <w:rPr>
          <w:lang w:val="fr-FR"/>
        </w:rPr>
        <w:fldChar w:fldCharType="end"/>
      </w:r>
      <w:r w:rsidRPr="007772C4">
        <w:rPr>
          <w:lang w:val="fr-FR"/>
        </w:rPr>
        <w:t>.  </w:t>
      </w:r>
      <w:r w:rsidR="00BF47D9" w:rsidRPr="007772C4">
        <w:rPr>
          <w:lang w:val="fr-FR"/>
        </w:rPr>
        <w:t xml:space="preserve">La Cour relève </w:t>
      </w:r>
      <w:r w:rsidR="004466C0" w:rsidRPr="007772C4">
        <w:rPr>
          <w:lang w:val="fr-FR"/>
        </w:rPr>
        <w:t xml:space="preserve">en outre </w:t>
      </w:r>
      <w:r w:rsidR="00BF47D9" w:rsidRPr="007772C4">
        <w:rPr>
          <w:lang w:val="fr-FR"/>
        </w:rPr>
        <w:t>qu</w:t>
      </w:r>
      <w:r w:rsidR="00941058" w:rsidRPr="007772C4">
        <w:rPr>
          <w:lang w:val="fr-FR"/>
        </w:rPr>
        <w:t>e</w:t>
      </w:r>
      <w:r w:rsidR="00BF47D9" w:rsidRPr="007772C4">
        <w:rPr>
          <w:lang w:val="fr-FR"/>
        </w:rPr>
        <w:t xml:space="preserve"> la cour d</w:t>
      </w:r>
      <w:r w:rsidR="007772C4" w:rsidRPr="007772C4">
        <w:rPr>
          <w:lang w:val="fr-FR"/>
        </w:rPr>
        <w:t>’</w:t>
      </w:r>
      <w:r w:rsidR="00BF47D9" w:rsidRPr="007772C4">
        <w:rPr>
          <w:lang w:val="fr-FR"/>
        </w:rPr>
        <w:t xml:space="preserve">appel a évalué avec soin la crédibilité de </w:t>
      </w:r>
      <w:r w:rsidR="00E225C4" w:rsidRPr="007772C4">
        <w:rPr>
          <w:lang w:val="fr-FR"/>
        </w:rPr>
        <w:t>C.C.</w:t>
      </w:r>
      <w:r w:rsidR="00BF47D9" w:rsidRPr="007772C4">
        <w:rPr>
          <w:lang w:val="fr-FR"/>
        </w:rPr>
        <w:t xml:space="preserve">, observant </w:t>
      </w:r>
      <w:r w:rsidRPr="007772C4">
        <w:rPr>
          <w:lang w:val="fr-FR"/>
        </w:rPr>
        <w:t>qu</w:t>
      </w:r>
      <w:r w:rsidR="007772C4" w:rsidRPr="007772C4">
        <w:rPr>
          <w:lang w:val="fr-FR"/>
        </w:rPr>
        <w:t>’</w:t>
      </w:r>
      <w:r w:rsidRPr="007772C4">
        <w:rPr>
          <w:lang w:val="fr-FR"/>
        </w:rPr>
        <w:t>il</w:t>
      </w:r>
      <w:r w:rsidR="00BF47D9" w:rsidRPr="007772C4">
        <w:rPr>
          <w:lang w:val="fr-FR"/>
        </w:rPr>
        <w:t xml:space="preserve"> n</w:t>
      </w:r>
      <w:r w:rsidR="007772C4" w:rsidRPr="007772C4">
        <w:rPr>
          <w:lang w:val="fr-FR"/>
        </w:rPr>
        <w:t>’</w:t>
      </w:r>
      <w:r w:rsidR="00BF47D9" w:rsidRPr="007772C4">
        <w:rPr>
          <w:lang w:val="fr-FR"/>
        </w:rPr>
        <w:t xml:space="preserve">avait aucune raison </w:t>
      </w:r>
      <w:r w:rsidR="00AE0FFF" w:rsidRPr="007772C4">
        <w:rPr>
          <w:lang w:val="fr-FR"/>
        </w:rPr>
        <w:t>d</w:t>
      </w:r>
      <w:r w:rsidR="007772C4" w:rsidRPr="007772C4">
        <w:rPr>
          <w:lang w:val="fr-FR"/>
        </w:rPr>
        <w:t>’</w:t>
      </w:r>
      <w:r w:rsidR="00BF47D9" w:rsidRPr="007772C4">
        <w:rPr>
          <w:lang w:val="fr-FR"/>
        </w:rPr>
        <w:t>accuser le requérant et qu</w:t>
      </w:r>
      <w:r w:rsidR="00941058" w:rsidRPr="007772C4">
        <w:rPr>
          <w:lang w:val="fr-FR"/>
        </w:rPr>
        <w:t xml:space="preserve">e, </w:t>
      </w:r>
      <w:r w:rsidR="00BF47D9" w:rsidRPr="007772C4">
        <w:rPr>
          <w:lang w:val="fr-FR"/>
        </w:rPr>
        <w:t xml:space="preserve">avant les faits délictueux, il ne </w:t>
      </w:r>
      <w:r w:rsidRPr="007772C4">
        <w:rPr>
          <w:lang w:val="fr-FR"/>
        </w:rPr>
        <w:t xml:space="preserve">le </w:t>
      </w:r>
      <w:r w:rsidR="00BF47D9" w:rsidRPr="007772C4">
        <w:rPr>
          <w:lang w:val="fr-FR"/>
        </w:rPr>
        <w:t xml:space="preserve">connaissait </w:t>
      </w:r>
      <w:r w:rsidR="00153B42" w:rsidRPr="007772C4">
        <w:rPr>
          <w:lang w:val="fr-FR"/>
        </w:rPr>
        <w:t>pas</w:t>
      </w:r>
      <w:r w:rsidR="00BF47D9" w:rsidRPr="007772C4">
        <w:rPr>
          <w:lang w:val="fr-FR"/>
        </w:rPr>
        <w:t>. Ces éléments ont amené la cour d</w:t>
      </w:r>
      <w:r w:rsidR="007772C4" w:rsidRPr="007772C4">
        <w:rPr>
          <w:lang w:val="fr-FR"/>
        </w:rPr>
        <w:t>’</w:t>
      </w:r>
      <w:r w:rsidR="00BF47D9" w:rsidRPr="007772C4">
        <w:rPr>
          <w:lang w:val="fr-FR"/>
        </w:rPr>
        <w:t xml:space="preserve">appel à considérer </w:t>
      </w:r>
      <w:r w:rsidR="002F03D8" w:rsidRPr="007772C4">
        <w:rPr>
          <w:lang w:val="fr-FR"/>
        </w:rPr>
        <w:t xml:space="preserve">que </w:t>
      </w:r>
      <w:r w:rsidRPr="007772C4">
        <w:rPr>
          <w:lang w:val="fr-FR"/>
        </w:rPr>
        <w:t>C.C.</w:t>
      </w:r>
      <w:r w:rsidR="00BF47D9" w:rsidRPr="007772C4">
        <w:rPr>
          <w:lang w:val="fr-FR"/>
        </w:rPr>
        <w:t xml:space="preserve"> </w:t>
      </w:r>
      <w:r w:rsidR="00AF795D" w:rsidRPr="007772C4">
        <w:rPr>
          <w:lang w:val="fr-FR"/>
        </w:rPr>
        <w:t>n</w:t>
      </w:r>
      <w:r w:rsidR="007772C4" w:rsidRPr="007772C4">
        <w:rPr>
          <w:lang w:val="fr-FR"/>
        </w:rPr>
        <w:t>’</w:t>
      </w:r>
      <w:r w:rsidR="00AF795D" w:rsidRPr="007772C4">
        <w:rPr>
          <w:lang w:val="fr-FR"/>
        </w:rPr>
        <w:t>avait pas d</w:t>
      </w:r>
      <w:r w:rsidR="007772C4" w:rsidRPr="007772C4">
        <w:rPr>
          <w:lang w:val="fr-FR"/>
        </w:rPr>
        <w:t>’</w:t>
      </w:r>
      <w:r w:rsidR="00AF795D" w:rsidRPr="007772C4">
        <w:rPr>
          <w:lang w:val="fr-FR"/>
        </w:rPr>
        <w:t>intérêt à déposer ainsi</w:t>
      </w:r>
      <w:r w:rsidR="00BF47D9" w:rsidRPr="007772C4">
        <w:rPr>
          <w:lang w:val="fr-FR"/>
        </w:rPr>
        <w:t xml:space="preserve"> et </w:t>
      </w:r>
      <w:r w:rsidR="00AF795D" w:rsidRPr="007772C4">
        <w:rPr>
          <w:lang w:val="fr-FR"/>
        </w:rPr>
        <w:t xml:space="preserve">que ses déclarations étaient </w:t>
      </w:r>
      <w:r w:rsidR="00BF47D9" w:rsidRPr="007772C4">
        <w:rPr>
          <w:lang w:val="fr-FR"/>
        </w:rPr>
        <w:t>donc suffisamment fiable</w:t>
      </w:r>
      <w:r w:rsidR="00AF795D" w:rsidRPr="007772C4">
        <w:rPr>
          <w:lang w:val="fr-FR"/>
        </w:rPr>
        <w:t>s</w:t>
      </w:r>
      <w:r w:rsidR="00BF47D9" w:rsidRPr="007772C4">
        <w:rPr>
          <w:lang w:val="fr-FR"/>
        </w:rPr>
        <w:t>.</w:t>
      </w:r>
    </w:p>
    <w:p w:rsidR="007772C4" w:rsidRPr="007772C4" w:rsidRDefault="00E225C4" w:rsidP="007772C4">
      <w:pPr>
        <w:pStyle w:val="ECHRPara"/>
        <w:rPr>
          <w:rFonts w:eastAsia="Times New Roman"/>
          <w:lang w:val="fr-FR"/>
        </w:rPr>
      </w:pPr>
      <w:r w:rsidRPr="007772C4">
        <w:rPr>
          <w:rFonts w:eastAsia="Times New Roman"/>
          <w:lang w:val="fr-FR"/>
        </w:rPr>
        <w:fldChar w:fldCharType="begin"/>
      </w:r>
      <w:r w:rsidRPr="007772C4">
        <w:rPr>
          <w:rFonts w:eastAsia="Times New Roman"/>
          <w:lang w:val="fr-FR"/>
        </w:rPr>
        <w:instrText xml:space="preserve"> SEQ level0 \*arabic </w:instrText>
      </w:r>
      <w:r w:rsidRPr="007772C4">
        <w:rPr>
          <w:rFonts w:eastAsia="Times New Roman"/>
          <w:lang w:val="fr-FR"/>
        </w:rPr>
        <w:fldChar w:fldCharType="separate"/>
      </w:r>
      <w:r w:rsidR="007772C4" w:rsidRPr="007772C4">
        <w:rPr>
          <w:rFonts w:eastAsia="Times New Roman"/>
          <w:noProof/>
          <w:lang w:val="fr-FR"/>
        </w:rPr>
        <w:t>55</w:t>
      </w:r>
      <w:r w:rsidRPr="007772C4">
        <w:rPr>
          <w:rFonts w:eastAsia="Times New Roman"/>
          <w:lang w:val="fr-FR"/>
        </w:rPr>
        <w:fldChar w:fldCharType="end"/>
      </w:r>
      <w:r w:rsidRPr="007772C4">
        <w:rPr>
          <w:rFonts w:eastAsia="Times New Roman"/>
          <w:lang w:val="fr-FR"/>
        </w:rPr>
        <w:t>.  </w:t>
      </w:r>
      <w:r w:rsidR="00F518D2" w:rsidRPr="007772C4">
        <w:rPr>
          <w:rFonts w:eastAsia="Times New Roman"/>
          <w:lang w:val="fr-FR"/>
        </w:rPr>
        <w:t>Cela étant, la Cour se doit de rappeler qu</w:t>
      </w:r>
      <w:r w:rsidR="007772C4" w:rsidRPr="007772C4">
        <w:rPr>
          <w:rFonts w:eastAsia="Times New Roman"/>
          <w:lang w:val="fr-FR"/>
        </w:rPr>
        <w:t>’</w:t>
      </w:r>
      <w:r w:rsidR="00F518D2" w:rsidRPr="007772C4">
        <w:rPr>
          <w:rFonts w:eastAsia="Times New Roman"/>
          <w:lang w:val="fr-FR"/>
        </w:rPr>
        <w:t>un tel examen ne saurait à lui seul compenser l</w:t>
      </w:r>
      <w:r w:rsidR="007772C4" w:rsidRPr="007772C4">
        <w:rPr>
          <w:rFonts w:eastAsia="Times New Roman"/>
          <w:lang w:val="fr-FR"/>
        </w:rPr>
        <w:t>’</w:t>
      </w:r>
      <w:r w:rsidR="00F518D2" w:rsidRPr="007772C4">
        <w:rPr>
          <w:rFonts w:eastAsia="Times New Roman"/>
          <w:lang w:val="fr-FR"/>
        </w:rPr>
        <w:t>absence d</w:t>
      </w:r>
      <w:r w:rsidR="007772C4" w:rsidRPr="007772C4">
        <w:rPr>
          <w:rFonts w:eastAsia="Times New Roman"/>
          <w:lang w:val="fr-FR"/>
        </w:rPr>
        <w:t>’</w:t>
      </w:r>
      <w:r w:rsidR="00F518D2" w:rsidRPr="007772C4">
        <w:rPr>
          <w:rFonts w:eastAsia="Times New Roman"/>
          <w:lang w:val="fr-FR"/>
        </w:rPr>
        <w:t>interrogation du témoin par la défense (</w:t>
      </w:r>
      <w:proofErr w:type="spellStart"/>
      <w:r w:rsidR="00F518D2" w:rsidRPr="007772C4">
        <w:rPr>
          <w:rFonts w:eastAsia="Times New Roman"/>
          <w:i/>
          <w:lang w:val="fr-FR"/>
        </w:rPr>
        <w:t>Damir</w:t>
      </w:r>
      <w:proofErr w:type="spellEnd"/>
      <w:r w:rsidR="00F518D2" w:rsidRPr="007772C4">
        <w:rPr>
          <w:rFonts w:eastAsia="Times New Roman"/>
          <w:i/>
          <w:lang w:val="fr-FR"/>
        </w:rPr>
        <w:t xml:space="preserve"> </w:t>
      </w:r>
      <w:proofErr w:type="spellStart"/>
      <w:r w:rsidR="00F518D2" w:rsidRPr="007772C4">
        <w:rPr>
          <w:rFonts w:eastAsia="Times New Roman"/>
          <w:i/>
          <w:lang w:val="fr-FR"/>
        </w:rPr>
        <w:t>Sibgatullin</w:t>
      </w:r>
      <w:proofErr w:type="spellEnd"/>
      <w:r w:rsidR="00F518D2" w:rsidRPr="007772C4">
        <w:rPr>
          <w:rFonts w:eastAsia="Times New Roman"/>
          <w:i/>
          <w:lang w:val="fr-FR"/>
        </w:rPr>
        <w:t xml:space="preserve"> c. Russie</w:t>
      </w:r>
      <w:r w:rsidR="00F518D2" w:rsidRPr="007772C4">
        <w:rPr>
          <w:rFonts w:eastAsia="Times New Roman"/>
          <w:lang w:val="fr-FR"/>
        </w:rPr>
        <w:t>, n</w:t>
      </w:r>
      <w:r w:rsidR="00615CAA" w:rsidRPr="007772C4">
        <w:rPr>
          <w:rFonts w:eastAsia="Times New Roman"/>
          <w:vertAlign w:val="superscript"/>
          <w:lang w:val="fr-FR"/>
        </w:rPr>
        <w:t>o</w:t>
      </w:r>
      <w:r w:rsidR="00F518D2" w:rsidRPr="007772C4">
        <w:rPr>
          <w:rFonts w:eastAsia="Times New Roman"/>
          <w:lang w:val="fr-FR"/>
        </w:rPr>
        <w:t xml:space="preserve"> </w:t>
      </w:r>
      <w:hyperlink r:id="rId30" w:anchor="{&quot;appno&quot;:[&quot;1413/05&quot;]}" w:tgtFrame="_blank" w:history="1">
        <w:r w:rsidR="00F518D2" w:rsidRPr="007772C4">
          <w:rPr>
            <w:rFonts w:eastAsia="Times New Roman"/>
            <w:lang w:val="fr-FR"/>
          </w:rPr>
          <w:t>1413/05</w:t>
        </w:r>
      </w:hyperlink>
      <w:r w:rsidR="00F518D2" w:rsidRPr="007772C4">
        <w:rPr>
          <w:rFonts w:eastAsia="Times New Roman"/>
          <w:lang w:val="fr-FR"/>
        </w:rPr>
        <w:t>, § 57, 24 avril 2012). En effet, aussi rigoureux soit-il, l</w:t>
      </w:r>
      <w:r w:rsidR="007772C4" w:rsidRPr="007772C4">
        <w:rPr>
          <w:rFonts w:eastAsia="Times New Roman"/>
          <w:lang w:val="fr-FR"/>
        </w:rPr>
        <w:t>’</w:t>
      </w:r>
      <w:r w:rsidR="00F518D2" w:rsidRPr="007772C4">
        <w:rPr>
          <w:rFonts w:eastAsia="Times New Roman"/>
          <w:lang w:val="fr-FR"/>
        </w:rPr>
        <w:t>examen fait par le juge du fond constitue un instrument de contrôle imparfait dans la mesure où il ne permet pas de disposer des éléments pouvant ressortir d</w:t>
      </w:r>
      <w:r w:rsidR="007772C4" w:rsidRPr="007772C4">
        <w:rPr>
          <w:rFonts w:eastAsia="Times New Roman"/>
          <w:lang w:val="fr-FR"/>
        </w:rPr>
        <w:t>’</w:t>
      </w:r>
      <w:r w:rsidR="00F518D2" w:rsidRPr="007772C4">
        <w:rPr>
          <w:rFonts w:eastAsia="Times New Roman"/>
          <w:lang w:val="fr-FR"/>
        </w:rPr>
        <w:t>une confrontation en audience publique entre l</w:t>
      </w:r>
      <w:r w:rsidR="007772C4" w:rsidRPr="007772C4">
        <w:rPr>
          <w:rFonts w:eastAsia="Times New Roman"/>
          <w:lang w:val="fr-FR"/>
        </w:rPr>
        <w:t>’</w:t>
      </w:r>
      <w:r w:rsidR="00F518D2" w:rsidRPr="007772C4">
        <w:rPr>
          <w:rFonts w:eastAsia="Times New Roman"/>
          <w:lang w:val="fr-FR"/>
        </w:rPr>
        <w:t>accusé et son accusateur (</w:t>
      </w:r>
      <w:proofErr w:type="spellStart"/>
      <w:r w:rsidR="00F518D2" w:rsidRPr="007772C4">
        <w:rPr>
          <w:rFonts w:eastAsia="Times New Roman"/>
          <w:i/>
          <w:lang w:val="fr-FR"/>
        </w:rPr>
        <w:t>Tseber</w:t>
      </w:r>
      <w:proofErr w:type="spellEnd"/>
      <w:r w:rsidR="00F518D2" w:rsidRPr="007772C4">
        <w:rPr>
          <w:rFonts w:eastAsia="Times New Roman"/>
          <w:lang w:val="fr-FR"/>
        </w:rPr>
        <w:t>, précité, § 65</w:t>
      </w:r>
      <w:r w:rsidR="008E4673" w:rsidRPr="007772C4">
        <w:rPr>
          <w:rFonts w:eastAsia="Times New Roman"/>
          <w:lang w:val="fr-FR"/>
        </w:rPr>
        <w:t>,</w:t>
      </w:r>
      <w:r w:rsidR="00494A72" w:rsidRPr="007772C4">
        <w:rPr>
          <w:rFonts w:eastAsia="Times New Roman"/>
          <w:lang w:val="fr-FR"/>
        </w:rPr>
        <w:t xml:space="preserve"> </w:t>
      </w:r>
      <w:r w:rsidR="006229EA" w:rsidRPr="007772C4">
        <w:rPr>
          <w:rFonts w:eastAsia="Times New Roman"/>
          <w:lang w:val="fr-FR"/>
        </w:rPr>
        <w:t xml:space="preserve">et </w:t>
      </w:r>
      <w:proofErr w:type="spellStart"/>
      <w:r w:rsidR="00494A72" w:rsidRPr="007772C4">
        <w:rPr>
          <w:rStyle w:val="CLLItalic"/>
          <w:rFonts w:cs="Times New Roman"/>
        </w:rPr>
        <w:t>Riahi</w:t>
      </w:r>
      <w:proofErr w:type="spellEnd"/>
      <w:r w:rsidR="00494A72" w:rsidRPr="007772C4">
        <w:rPr>
          <w:rStyle w:val="CLLItalic"/>
          <w:rFonts w:cs="Times New Roman"/>
        </w:rPr>
        <w:t xml:space="preserve"> c.</w:t>
      </w:r>
      <w:r w:rsidR="008E4673" w:rsidRPr="007772C4">
        <w:rPr>
          <w:rStyle w:val="CLLItalic"/>
          <w:rFonts w:cs="Times New Roman"/>
        </w:rPr>
        <w:t> </w:t>
      </w:r>
      <w:r w:rsidR="00494A72" w:rsidRPr="007772C4">
        <w:rPr>
          <w:rStyle w:val="CLLItalic"/>
          <w:rFonts w:cs="Times New Roman"/>
        </w:rPr>
        <w:t>Belgique</w:t>
      </w:r>
      <w:r w:rsidR="00494A72" w:rsidRPr="007772C4">
        <w:rPr>
          <w:lang w:val="fr-FR"/>
        </w:rPr>
        <w:t>, n</w:t>
      </w:r>
      <w:r w:rsidR="00494A72" w:rsidRPr="007772C4">
        <w:rPr>
          <w:rStyle w:val="CLLSuperscript"/>
          <w:rFonts w:cs="Times New Roman"/>
        </w:rPr>
        <w:t>o</w:t>
      </w:r>
      <w:r w:rsidR="007772C4" w:rsidRPr="007772C4">
        <w:rPr>
          <w:lang w:val="fr-FR"/>
        </w:rPr>
        <w:t> </w:t>
      </w:r>
      <w:r w:rsidR="00494A72" w:rsidRPr="007772C4">
        <w:rPr>
          <w:lang w:val="fr-FR"/>
        </w:rPr>
        <w:t>65400/10</w:t>
      </w:r>
      <w:r w:rsidR="00494A72" w:rsidRPr="007772C4">
        <w:rPr>
          <w:snapToGrid w:val="0"/>
          <w:lang w:val="fr-FR"/>
        </w:rPr>
        <w:t xml:space="preserve">, § 41, 14 </w:t>
      </w:r>
      <w:r w:rsidR="00494A72" w:rsidRPr="007772C4">
        <w:rPr>
          <w:lang w:val="fr-FR"/>
        </w:rPr>
        <w:t>juin</w:t>
      </w:r>
      <w:r w:rsidR="00494A72" w:rsidRPr="007772C4">
        <w:rPr>
          <w:snapToGrid w:val="0"/>
          <w:lang w:val="fr-FR"/>
        </w:rPr>
        <w:t xml:space="preserve"> 2016</w:t>
      </w:r>
      <w:r w:rsidR="00F518D2" w:rsidRPr="007772C4">
        <w:rPr>
          <w:rFonts w:eastAsia="Times New Roman"/>
          <w:lang w:val="fr-FR"/>
        </w:rPr>
        <w:t>).</w:t>
      </w:r>
    </w:p>
    <w:p w:rsidR="00F518D2" w:rsidRPr="007772C4" w:rsidRDefault="00440CB7" w:rsidP="007772C4">
      <w:pPr>
        <w:pStyle w:val="ECHRPara"/>
        <w:rPr>
          <w:rFonts w:eastAsia="Times New Roman"/>
          <w:lang w:val="fr-FR"/>
        </w:rPr>
      </w:pPr>
      <w:r w:rsidRPr="007772C4">
        <w:rPr>
          <w:rFonts w:eastAsia="Times New Roman"/>
          <w:lang w:val="fr-FR"/>
        </w:rPr>
        <w:fldChar w:fldCharType="begin"/>
      </w:r>
      <w:r w:rsidRPr="007772C4">
        <w:rPr>
          <w:rFonts w:eastAsia="Times New Roman"/>
          <w:lang w:val="fr-FR"/>
        </w:rPr>
        <w:instrText xml:space="preserve"> SEQ level0 \*arabic </w:instrText>
      </w:r>
      <w:r w:rsidRPr="007772C4">
        <w:rPr>
          <w:rFonts w:eastAsia="Times New Roman"/>
          <w:lang w:val="fr-FR"/>
        </w:rPr>
        <w:fldChar w:fldCharType="separate"/>
      </w:r>
      <w:r w:rsidR="007772C4" w:rsidRPr="007772C4">
        <w:rPr>
          <w:rFonts w:eastAsia="Times New Roman"/>
          <w:noProof/>
          <w:lang w:val="fr-FR"/>
        </w:rPr>
        <w:t>56</w:t>
      </w:r>
      <w:r w:rsidRPr="007772C4">
        <w:rPr>
          <w:rFonts w:eastAsia="Times New Roman"/>
          <w:lang w:val="fr-FR"/>
        </w:rPr>
        <w:fldChar w:fldCharType="end"/>
      </w:r>
      <w:r w:rsidRPr="007772C4">
        <w:rPr>
          <w:rFonts w:eastAsia="Times New Roman"/>
          <w:lang w:val="fr-FR"/>
        </w:rPr>
        <w:t>.  </w:t>
      </w:r>
      <w:r w:rsidR="00F518D2" w:rsidRPr="007772C4">
        <w:rPr>
          <w:rFonts w:eastAsia="Times New Roman"/>
          <w:lang w:val="fr-FR"/>
        </w:rPr>
        <w:t xml:space="preserve">Compte tenu de ce qui précède, la Cour estime que le caractère déterminant des dépositions de </w:t>
      </w:r>
      <w:r w:rsidR="00866395" w:rsidRPr="007772C4">
        <w:rPr>
          <w:rFonts w:eastAsia="Times New Roman"/>
          <w:lang w:val="fr-FR"/>
        </w:rPr>
        <w:t>C.C</w:t>
      </w:r>
      <w:r w:rsidR="00F518D2" w:rsidRPr="007772C4">
        <w:rPr>
          <w:rFonts w:eastAsia="Times New Roman"/>
          <w:lang w:val="fr-FR"/>
        </w:rPr>
        <w:t>., en l</w:t>
      </w:r>
      <w:r w:rsidR="007772C4" w:rsidRPr="007772C4">
        <w:rPr>
          <w:rFonts w:eastAsia="Times New Roman"/>
          <w:lang w:val="fr-FR"/>
        </w:rPr>
        <w:t>’</w:t>
      </w:r>
      <w:r w:rsidR="00F518D2" w:rsidRPr="007772C4">
        <w:rPr>
          <w:rFonts w:eastAsia="Times New Roman"/>
          <w:lang w:val="fr-FR"/>
        </w:rPr>
        <w:t xml:space="preserve">absence de confrontation avec le requérant en audience publique, emporte la conclusion que les juridictions </w:t>
      </w:r>
      <w:r w:rsidR="00F518D2" w:rsidRPr="007772C4">
        <w:rPr>
          <w:rFonts w:eastAsia="Times New Roman"/>
          <w:lang w:val="fr-FR"/>
        </w:rPr>
        <w:lastRenderedPageBreak/>
        <w:t>internes, aussi rigoureux qu</w:t>
      </w:r>
      <w:r w:rsidR="007772C4" w:rsidRPr="007772C4">
        <w:rPr>
          <w:rFonts w:eastAsia="Times New Roman"/>
          <w:lang w:val="fr-FR"/>
        </w:rPr>
        <w:t>’</w:t>
      </w:r>
      <w:r w:rsidR="00F518D2" w:rsidRPr="007772C4">
        <w:rPr>
          <w:rFonts w:eastAsia="Times New Roman"/>
          <w:lang w:val="fr-FR"/>
        </w:rPr>
        <w:t>ait été leur examen, n</w:t>
      </w:r>
      <w:r w:rsidR="007772C4" w:rsidRPr="007772C4">
        <w:rPr>
          <w:rFonts w:eastAsia="Times New Roman"/>
          <w:lang w:val="fr-FR"/>
        </w:rPr>
        <w:t>’</w:t>
      </w:r>
      <w:r w:rsidR="00F518D2" w:rsidRPr="007772C4">
        <w:rPr>
          <w:rFonts w:eastAsia="Times New Roman"/>
          <w:lang w:val="fr-FR"/>
        </w:rPr>
        <w:t>ont pas pu apprécier correctement et équitablement la fiabilité de cette preuve.</w:t>
      </w:r>
    </w:p>
    <w:bookmarkStart w:id="15" w:name="pa61"/>
    <w:p w:rsidR="00F518D2" w:rsidRPr="007772C4" w:rsidRDefault="00440CB7" w:rsidP="007772C4">
      <w:pPr>
        <w:pStyle w:val="ECHRPara"/>
        <w:rPr>
          <w:rFonts w:eastAsia="Times New Roman"/>
          <w:lang w:val="fr-FR"/>
        </w:rPr>
      </w:pPr>
      <w:r w:rsidRPr="007772C4">
        <w:rPr>
          <w:rFonts w:eastAsia="Times New Roman"/>
          <w:lang w:val="fr-FR"/>
        </w:rPr>
        <w:fldChar w:fldCharType="begin"/>
      </w:r>
      <w:r w:rsidRPr="007772C4">
        <w:rPr>
          <w:rFonts w:eastAsia="Times New Roman"/>
          <w:lang w:val="fr-FR"/>
        </w:rPr>
        <w:instrText xml:space="preserve"> SEQ level0 \*arabic </w:instrText>
      </w:r>
      <w:r w:rsidRPr="007772C4">
        <w:rPr>
          <w:rFonts w:eastAsia="Times New Roman"/>
          <w:lang w:val="fr-FR"/>
        </w:rPr>
        <w:fldChar w:fldCharType="separate"/>
      </w:r>
      <w:r w:rsidR="007772C4" w:rsidRPr="007772C4">
        <w:rPr>
          <w:rFonts w:eastAsia="Times New Roman"/>
          <w:noProof/>
          <w:lang w:val="fr-FR"/>
        </w:rPr>
        <w:t>57</w:t>
      </w:r>
      <w:r w:rsidRPr="007772C4">
        <w:rPr>
          <w:rFonts w:eastAsia="Times New Roman"/>
          <w:lang w:val="fr-FR"/>
        </w:rPr>
        <w:fldChar w:fldCharType="end"/>
      </w:r>
      <w:bookmarkEnd w:id="15"/>
      <w:r w:rsidRPr="007772C4">
        <w:rPr>
          <w:rFonts w:eastAsia="Times New Roman"/>
          <w:lang w:val="fr-FR"/>
        </w:rPr>
        <w:t>.  </w:t>
      </w:r>
      <w:r w:rsidR="00F518D2" w:rsidRPr="007772C4">
        <w:rPr>
          <w:rFonts w:eastAsia="Times New Roman"/>
          <w:lang w:val="fr-FR"/>
        </w:rPr>
        <w:t>Par</w:t>
      </w:r>
      <w:r w:rsidR="00B006EB" w:rsidRPr="007772C4">
        <w:rPr>
          <w:rFonts w:eastAsia="Times New Roman"/>
          <w:lang w:val="fr-FR"/>
        </w:rPr>
        <w:t xml:space="preserve"> conséquent</w:t>
      </w:r>
      <w:r w:rsidR="00F518D2" w:rsidRPr="007772C4">
        <w:rPr>
          <w:rFonts w:eastAsia="Times New Roman"/>
          <w:lang w:val="fr-FR"/>
        </w:rPr>
        <w:t>, considérant l</w:t>
      </w:r>
      <w:r w:rsidR="007772C4" w:rsidRPr="007772C4">
        <w:rPr>
          <w:rFonts w:eastAsia="Times New Roman"/>
          <w:lang w:val="fr-FR"/>
        </w:rPr>
        <w:t>’</w:t>
      </w:r>
      <w:r w:rsidR="00F518D2" w:rsidRPr="007772C4">
        <w:rPr>
          <w:rFonts w:eastAsia="Times New Roman"/>
          <w:lang w:val="fr-FR"/>
        </w:rPr>
        <w:t>équité de la procédure dans son ensemble, la Cour juge que les droits de la défense du requérant ont ainsi subi une limitation incompatible avec les exigences d</w:t>
      </w:r>
      <w:r w:rsidR="007772C4" w:rsidRPr="007772C4">
        <w:rPr>
          <w:rFonts w:eastAsia="Times New Roman"/>
          <w:lang w:val="fr-FR"/>
        </w:rPr>
        <w:t>’</w:t>
      </w:r>
      <w:r w:rsidR="00F518D2" w:rsidRPr="007772C4">
        <w:rPr>
          <w:rFonts w:eastAsia="Times New Roman"/>
          <w:lang w:val="fr-FR"/>
        </w:rPr>
        <w:t>un procès équitable</w:t>
      </w:r>
      <w:r w:rsidR="008E4673" w:rsidRPr="007772C4">
        <w:rPr>
          <w:rFonts w:eastAsia="Times New Roman"/>
          <w:lang w:val="fr-FR"/>
        </w:rPr>
        <w:t xml:space="preserve">. </w:t>
      </w:r>
      <w:r w:rsidR="00B006EB" w:rsidRPr="007772C4">
        <w:rPr>
          <w:rFonts w:eastAsia="Times New Roman"/>
          <w:lang w:val="fr-FR"/>
        </w:rPr>
        <w:t xml:space="preserve">Partant, </w:t>
      </w:r>
      <w:r w:rsidR="008E4673" w:rsidRPr="007772C4">
        <w:rPr>
          <w:rFonts w:eastAsia="Times New Roman"/>
          <w:lang w:val="fr-FR"/>
        </w:rPr>
        <w:t>i</w:t>
      </w:r>
      <w:r w:rsidR="00F518D2" w:rsidRPr="007772C4">
        <w:rPr>
          <w:rFonts w:eastAsia="Times New Roman"/>
          <w:lang w:val="fr-FR"/>
        </w:rPr>
        <w:t>l y a eu violation de l</w:t>
      </w:r>
      <w:r w:rsidR="007772C4" w:rsidRPr="007772C4">
        <w:rPr>
          <w:rFonts w:eastAsia="Times New Roman"/>
          <w:lang w:val="fr-FR"/>
        </w:rPr>
        <w:t>’</w:t>
      </w:r>
      <w:r w:rsidR="00F518D2" w:rsidRPr="007772C4">
        <w:rPr>
          <w:rFonts w:eastAsia="Times New Roman"/>
          <w:lang w:val="fr-FR"/>
        </w:rPr>
        <w:t>article 6 §§ 1 et 3 d) de la Convention.</w:t>
      </w:r>
    </w:p>
    <w:p w:rsidR="00E77CB3" w:rsidRPr="007772C4" w:rsidRDefault="00775EA1" w:rsidP="007772C4">
      <w:pPr>
        <w:pStyle w:val="ECHRHeading1"/>
        <w:rPr>
          <w:lang w:val="fr-FR"/>
        </w:rPr>
      </w:pPr>
      <w:r w:rsidRPr="007772C4">
        <w:rPr>
          <w:lang w:val="fr-FR"/>
        </w:rPr>
        <w:t>II</w:t>
      </w:r>
      <w:r w:rsidR="00E77CB3" w:rsidRPr="007772C4">
        <w:rPr>
          <w:lang w:val="fr-FR"/>
        </w:rPr>
        <w:t>.</w:t>
      </w:r>
      <w:proofErr w:type="gramStart"/>
      <w:r w:rsidR="00E77CB3" w:rsidRPr="007772C4">
        <w:rPr>
          <w:lang w:val="fr-FR"/>
        </w:rPr>
        <w:t>  SUR</w:t>
      </w:r>
      <w:proofErr w:type="gramEnd"/>
      <w:r w:rsidR="00E77CB3" w:rsidRPr="007772C4">
        <w:rPr>
          <w:lang w:val="fr-FR"/>
        </w:rPr>
        <w:t xml:space="preserve"> L</w:t>
      </w:r>
      <w:r w:rsidR="007772C4" w:rsidRPr="007772C4">
        <w:rPr>
          <w:lang w:val="fr-FR"/>
        </w:rPr>
        <w:t>’</w:t>
      </w:r>
      <w:r w:rsidR="00E77CB3" w:rsidRPr="007772C4">
        <w:rPr>
          <w:lang w:val="fr-FR"/>
        </w:rPr>
        <w:t>APPLICATION DE L</w:t>
      </w:r>
      <w:r w:rsidR="007772C4" w:rsidRPr="007772C4">
        <w:rPr>
          <w:lang w:val="fr-FR"/>
        </w:rPr>
        <w:t>’</w:t>
      </w:r>
      <w:r w:rsidR="00E77CB3" w:rsidRPr="007772C4">
        <w:rPr>
          <w:lang w:val="fr-FR"/>
        </w:rPr>
        <w:t>ARTICLE 41 DE LA CONVENTION</w:t>
      </w:r>
    </w:p>
    <w:p w:rsidR="00E77CB3" w:rsidRPr="007772C4" w:rsidRDefault="00314B2C" w:rsidP="007772C4">
      <w:pPr>
        <w:pStyle w:val="ECHRPara"/>
        <w:rPr>
          <w:lang w:val="fr-FR"/>
        </w:rPr>
      </w:pPr>
      <w:r w:rsidRPr="007772C4">
        <w:rPr>
          <w:lang w:val="fr-FR"/>
        </w:rPr>
        <w:fldChar w:fldCharType="begin"/>
      </w:r>
      <w:r w:rsidRPr="007772C4">
        <w:rPr>
          <w:lang w:val="fr-FR"/>
        </w:rPr>
        <w:instrText xml:space="preserve"> SEQ level0 \*arabic </w:instrText>
      </w:r>
      <w:r w:rsidRPr="007772C4">
        <w:rPr>
          <w:lang w:val="fr-FR"/>
        </w:rPr>
        <w:fldChar w:fldCharType="separate"/>
      </w:r>
      <w:r w:rsidR="007772C4" w:rsidRPr="007772C4">
        <w:rPr>
          <w:noProof/>
          <w:lang w:val="fr-FR"/>
        </w:rPr>
        <w:t>58</w:t>
      </w:r>
      <w:r w:rsidRPr="007772C4">
        <w:rPr>
          <w:lang w:val="fr-FR"/>
        </w:rPr>
        <w:fldChar w:fldCharType="end"/>
      </w:r>
      <w:r w:rsidR="00E77CB3" w:rsidRPr="007772C4">
        <w:rPr>
          <w:lang w:val="fr-FR"/>
        </w:rPr>
        <w:t>.  Aux termes de l</w:t>
      </w:r>
      <w:r w:rsidR="007772C4" w:rsidRPr="007772C4">
        <w:rPr>
          <w:lang w:val="fr-FR"/>
        </w:rPr>
        <w:t>’</w:t>
      </w:r>
      <w:r w:rsidR="00E77CB3" w:rsidRPr="007772C4">
        <w:rPr>
          <w:lang w:val="fr-FR"/>
        </w:rPr>
        <w:t>article 41 de la Convention,</w:t>
      </w:r>
    </w:p>
    <w:p w:rsidR="00E77CB3" w:rsidRPr="007772C4" w:rsidRDefault="00E77CB3" w:rsidP="007772C4">
      <w:pPr>
        <w:pStyle w:val="ECHRParaQuote"/>
        <w:keepNext/>
        <w:keepLines/>
        <w:rPr>
          <w:lang w:val="fr-FR"/>
        </w:rPr>
      </w:pPr>
      <w:r w:rsidRPr="007772C4">
        <w:rPr>
          <w:lang w:val="fr-FR"/>
        </w:rPr>
        <w:t>« Si la Cour déclare qu</w:t>
      </w:r>
      <w:r w:rsidR="007772C4" w:rsidRPr="007772C4">
        <w:rPr>
          <w:lang w:val="fr-FR"/>
        </w:rPr>
        <w:t>’</w:t>
      </w:r>
      <w:r w:rsidRPr="007772C4">
        <w:rPr>
          <w:lang w:val="fr-FR"/>
        </w:rPr>
        <w:t>il y a eu violation de la Convention ou de ses Protocoles, et si le droit interne de la Haute Partie contractante ne permet d</w:t>
      </w:r>
      <w:r w:rsidR="007772C4" w:rsidRPr="007772C4">
        <w:rPr>
          <w:lang w:val="fr-FR"/>
        </w:rPr>
        <w:t>’</w:t>
      </w:r>
      <w:r w:rsidRPr="007772C4">
        <w:rPr>
          <w:lang w:val="fr-FR"/>
        </w:rPr>
        <w:t>effacer qu</w:t>
      </w:r>
      <w:r w:rsidR="007772C4" w:rsidRPr="007772C4">
        <w:rPr>
          <w:lang w:val="fr-FR"/>
        </w:rPr>
        <w:t>’</w:t>
      </w:r>
      <w:r w:rsidRPr="007772C4">
        <w:rPr>
          <w:lang w:val="fr-FR"/>
        </w:rPr>
        <w:t>imparfaitement les conséquences de cette violation, la Cour accorde à la partie lésée, s</w:t>
      </w:r>
      <w:r w:rsidR="007772C4" w:rsidRPr="007772C4">
        <w:rPr>
          <w:lang w:val="fr-FR"/>
        </w:rPr>
        <w:t>’</w:t>
      </w:r>
      <w:r w:rsidRPr="007772C4">
        <w:rPr>
          <w:lang w:val="fr-FR"/>
        </w:rPr>
        <w:t>il y a lieu, une satisfaction équitable. »</w:t>
      </w:r>
    </w:p>
    <w:p w:rsidR="00E77CB3" w:rsidRPr="007772C4" w:rsidRDefault="00E77CB3" w:rsidP="007772C4">
      <w:pPr>
        <w:pStyle w:val="ECHRHeading2"/>
        <w:rPr>
          <w:lang w:val="fr-FR"/>
        </w:rPr>
      </w:pPr>
      <w:r w:rsidRPr="007772C4">
        <w:rPr>
          <w:lang w:val="fr-FR"/>
        </w:rPr>
        <w:t>A.</w:t>
      </w:r>
      <w:proofErr w:type="gramStart"/>
      <w:r w:rsidRPr="007772C4">
        <w:rPr>
          <w:lang w:val="fr-FR"/>
        </w:rPr>
        <w:t>  Dommage</w:t>
      </w:r>
      <w:proofErr w:type="gramEnd"/>
    </w:p>
    <w:p w:rsidR="00E77CB3" w:rsidRPr="007772C4" w:rsidRDefault="00314B2C" w:rsidP="007772C4">
      <w:pPr>
        <w:pStyle w:val="ECHRPara"/>
        <w:rPr>
          <w:lang w:val="fr-FR"/>
        </w:rPr>
      </w:pPr>
      <w:r w:rsidRPr="007772C4">
        <w:rPr>
          <w:lang w:val="fr-FR"/>
        </w:rPr>
        <w:fldChar w:fldCharType="begin"/>
      </w:r>
      <w:r w:rsidRPr="007772C4">
        <w:rPr>
          <w:lang w:val="fr-FR"/>
        </w:rPr>
        <w:instrText xml:space="preserve"> SEQ level0 \*arabic </w:instrText>
      </w:r>
      <w:r w:rsidRPr="007772C4">
        <w:rPr>
          <w:lang w:val="fr-FR"/>
        </w:rPr>
        <w:fldChar w:fldCharType="separate"/>
      </w:r>
      <w:r w:rsidR="007772C4" w:rsidRPr="007772C4">
        <w:rPr>
          <w:noProof/>
          <w:lang w:val="fr-FR"/>
        </w:rPr>
        <w:t>59</w:t>
      </w:r>
      <w:r w:rsidRPr="007772C4">
        <w:rPr>
          <w:lang w:val="fr-FR"/>
        </w:rPr>
        <w:fldChar w:fldCharType="end"/>
      </w:r>
      <w:r w:rsidR="00E77CB3" w:rsidRPr="007772C4">
        <w:rPr>
          <w:lang w:val="fr-FR"/>
        </w:rPr>
        <w:t>.  </w:t>
      </w:r>
      <w:r w:rsidR="004871C4" w:rsidRPr="007772C4">
        <w:rPr>
          <w:lang w:val="fr-FR"/>
        </w:rPr>
        <w:t>Le</w:t>
      </w:r>
      <w:r w:rsidR="00B71A1D" w:rsidRPr="007772C4">
        <w:rPr>
          <w:lang w:val="fr-FR"/>
        </w:rPr>
        <w:t xml:space="preserve"> requérant </w:t>
      </w:r>
      <w:r w:rsidR="00E77CB3" w:rsidRPr="007772C4">
        <w:rPr>
          <w:lang w:val="fr-FR"/>
        </w:rPr>
        <w:t>réclame</w:t>
      </w:r>
      <w:r w:rsidR="00971BD6" w:rsidRPr="007772C4">
        <w:rPr>
          <w:lang w:val="fr-FR"/>
        </w:rPr>
        <w:t xml:space="preserve"> </w:t>
      </w:r>
      <w:r w:rsidR="00B517E4" w:rsidRPr="007772C4">
        <w:rPr>
          <w:lang w:val="fr-FR"/>
        </w:rPr>
        <w:t xml:space="preserve">à titre de dommage matériel </w:t>
      </w:r>
      <w:r w:rsidR="00971BD6" w:rsidRPr="007772C4">
        <w:rPr>
          <w:lang w:val="fr-FR"/>
        </w:rPr>
        <w:t>200 euros (EUR) par mois</w:t>
      </w:r>
      <w:r w:rsidR="006B4561" w:rsidRPr="007772C4">
        <w:rPr>
          <w:lang w:val="fr-FR"/>
        </w:rPr>
        <w:t xml:space="preserve"> de détention, </w:t>
      </w:r>
      <w:r w:rsidR="006945A3" w:rsidRPr="007772C4">
        <w:rPr>
          <w:lang w:val="fr-FR"/>
        </w:rPr>
        <w:t xml:space="preserve">soit </w:t>
      </w:r>
      <w:r w:rsidR="006B4561" w:rsidRPr="007772C4">
        <w:rPr>
          <w:lang w:val="fr-FR"/>
        </w:rPr>
        <w:t xml:space="preserve">un total de 3 200 </w:t>
      </w:r>
      <w:r w:rsidR="00B71A1D" w:rsidRPr="007772C4">
        <w:rPr>
          <w:lang w:val="fr-FR"/>
        </w:rPr>
        <w:t xml:space="preserve">EUR </w:t>
      </w:r>
      <w:r w:rsidR="006B4561" w:rsidRPr="007772C4">
        <w:rPr>
          <w:lang w:val="fr-FR"/>
        </w:rPr>
        <w:t xml:space="preserve">pour </w:t>
      </w:r>
      <w:r w:rsidR="009247BD" w:rsidRPr="007772C4">
        <w:rPr>
          <w:lang w:val="fr-FR"/>
        </w:rPr>
        <w:t xml:space="preserve">la </w:t>
      </w:r>
      <w:r w:rsidR="00B22DFB" w:rsidRPr="007772C4">
        <w:rPr>
          <w:lang w:val="fr-FR"/>
        </w:rPr>
        <w:t>période d</w:t>
      </w:r>
      <w:r w:rsidR="007772C4" w:rsidRPr="007772C4">
        <w:rPr>
          <w:lang w:val="fr-FR"/>
        </w:rPr>
        <w:t>’</w:t>
      </w:r>
      <w:r w:rsidR="00B22DFB" w:rsidRPr="007772C4">
        <w:rPr>
          <w:lang w:val="fr-FR"/>
        </w:rPr>
        <w:t>un an</w:t>
      </w:r>
      <w:r w:rsidR="006B4561" w:rsidRPr="007772C4">
        <w:rPr>
          <w:lang w:val="fr-FR"/>
        </w:rPr>
        <w:t xml:space="preserve"> et quatre mois </w:t>
      </w:r>
      <w:r w:rsidR="009247BD" w:rsidRPr="007772C4">
        <w:rPr>
          <w:lang w:val="fr-FR"/>
        </w:rPr>
        <w:t>qu</w:t>
      </w:r>
      <w:r w:rsidR="007772C4" w:rsidRPr="007772C4">
        <w:rPr>
          <w:lang w:val="fr-FR"/>
        </w:rPr>
        <w:t>’</w:t>
      </w:r>
      <w:r w:rsidR="009247BD" w:rsidRPr="007772C4">
        <w:rPr>
          <w:lang w:val="fr-FR"/>
        </w:rPr>
        <w:t xml:space="preserve">il a </w:t>
      </w:r>
      <w:r w:rsidR="006B4561" w:rsidRPr="007772C4">
        <w:rPr>
          <w:lang w:val="fr-FR"/>
        </w:rPr>
        <w:t>passé</w:t>
      </w:r>
      <w:r w:rsidR="00B22DFB" w:rsidRPr="007772C4">
        <w:rPr>
          <w:lang w:val="fr-FR"/>
        </w:rPr>
        <w:t>e</w:t>
      </w:r>
      <w:r w:rsidR="006B4561" w:rsidRPr="007772C4">
        <w:rPr>
          <w:lang w:val="fr-FR"/>
        </w:rPr>
        <w:t xml:space="preserve"> en prison. En outre</w:t>
      </w:r>
      <w:r w:rsidR="00047372" w:rsidRPr="007772C4">
        <w:rPr>
          <w:lang w:val="fr-FR"/>
        </w:rPr>
        <w:t>,</w:t>
      </w:r>
      <w:r w:rsidR="006B4561" w:rsidRPr="007772C4">
        <w:rPr>
          <w:lang w:val="fr-FR"/>
        </w:rPr>
        <w:t xml:space="preserve"> il </w:t>
      </w:r>
      <w:r w:rsidR="00B71A1D" w:rsidRPr="007772C4">
        <w:rPr>
          <w:lang w:val="fr-FR"/>
        </w:rPr>
        <w:t xml:space="preserve">demande </w:t>
      </w:r>
      <w:r w:rsidR="006B4561" w:rsidRPr="007772C4">
        <w:rPr>
          <w:lang w:val="fr-FR"/>
        </w:rPr>
        <w:t xml:space="preserve">100 000 EUR </w:t>
      </w:r>
      <w:r w:rsidR="009247BD" w:rsidRPr="007772C4">
        <w:rPr>
          <w:lang w:val="fr-FR"/>
        </w:rPr>
        <w:t>pour</w:t>
      </w:r>
      <w:r w:rsidR="00E77CB3" w:rsidRPr="007772C4">
        <w:rPr>
          <w:lang w:val="fr-FR"/>
        </w:rPr>
        <w:t xml:space="preserve"> préjudice </w:t>
      </w:r>
      <w:r w:rsidR="004E4AF4" w:rsidRPr="007772C4">
        <w:rPr>
          <w:lang w:val="fr-FR"/>
        </w:rPr>
        <w:t>moral</w:t>
      </w:r>
      <w:r w:rsidR="00E77CB3" w:rsidRPr="007772C4">
        <w:rPr>
          <w:lang w:val="fr-FR"/>
        </w:rPr>
        <w:t>.</w:t>
      </w:r>
    </w:p>
    <w:p w:rsidR="00E77CB3" w:rsidRPr="007772C4" w:rsidRDefault="00314B2C" w:rsidP="007772C4">
      <w:pPr>
        <w:pStyle w:val="ECHRPara"/>
        <w:rPr>
          <w:lang w:val="fr-FR"/>
        </w:rPr>
      </w:pPr>
      <w:r w:rsidRPr="007772C4">
        <w:rPr>
          <w:lang w:val="fr-FR"/>
        </w:rPr>
        <w:fldChar w:fldCharType="begin"/>
      </w:r>
      <w:r w:rsidRPr="007772C4">
        <w:rPr>
          <w:lang w:val="fr-FR"/>
        </w:rPr>
        <w:instrText xml:space="preserve"> SEQ level0 \*arabic </w:instrText>
      </w:r>
      <w:r w:rsidRPr="007772C4">
        <w:rPr>
          <w:lang w:val="fr-FR"/>
        </w:rPr>
        <w:fldChar w:fldCharType="separate"/>
      </w:r>
      <w:r w:rsidR="007772C4" w:rsidRPr="007772C4">
        <w:rPr>
          <w:noProof/>
          <w:lang w:val="fr-FR"/>
        </w:rPr>
        <w:t>60</w:t>
      </w:r>
      <w:r w:rsidRPr="007772C4">
        <w:rPr>
          <w:lang w:val="fr-FR"/>
        </w:rPr>
        <w:fldChar w:fldCharType="end"/>
      </w:r>
      <w:r w:rsidR="006B4561" w:rsidRPr="007772C4">
        <w:rPr>
          <w:lang w:val="fr-FR"/>
        </w:rPr>
        <w:t xml:space="preserve">.  Le Gouvernement </w:t>
      </w:r>
      <w:r w:rsidR="009247BD" w:rsidRPr="007772C4">
        <w:rPr>
          <w:lang w:val="fr-FR"/>
        </w:rPr>
        <w:t>est d</w:t>
      </w:r>
      <w:r w:rsidR="007772C4" w:rsidRPr="007772C4">
        <w:rPr>
          <w:lang w:val="fr-FR"/>
        </w:rPr>
        <w:t>’</w:t>
      </w:r>
      <w:r w:rsidR="009247BD" w:rsidRPr="007772C4">
        <w:rPr>
          <w:lang w:val="fr-FR"/>
        </w:rPr>
        <w:t xml:space="preserve">avis </w:t>
      </w:r>
      <w:r w:rsidR="006B4561" w:rsidRPr="007772C4">
        <w:rPr>
          <w:lang w:val="fr-FR"/>
        </w:rPr>
        <w:t xml:space="preserve">que les demandes du requérant sont </w:t>
      </w:r>
      <w:r w:rsidR="00B71A1D" w:rsidRPr="007772C4">
        <w:rPr>
          <w:lang w:val="fr-FR"/>
        </w:rPr>
        <w:t xml:space="preserve">exorbitantes et </w:t>
      </w:r>
      <w:r w:rsidR="006B4561" w:rsidRPr="007772C4">
        <w:rPr>
          <w:lang w:val="fr-FR"/>
        </w:rPr>
        <w:t>totalement dénuées de fondement.</w:t>
      </w:r>
    </w:p>
    <w:p w:rsidR="00E77CB3" w:rsidRPr="007772C4" w:rsidRDefault="00944111" w:rsidP="007772C4">
      <w:pPr>
        <w:pStyle w:val="ECHRPara"/>
        <w:rPr>
          <w:lang w:val="fr-FR"/>
        </w:rPr>
      </w:pPr>
      <w:r w:rsidRPr="007772C4">
        <w:rPr>
          <w:lang w:val="fr-FR"/>
        </w:rPr>
        <w:fldChar w:fldCharType="begin"/>
      </w:r>
      <w:r w:rsidRPr="007772C4">
        <w:rPr>
          <w:lang w:val="fr-FR"/>
        </w:rPr>
        <w:instrText xml:space="preserve"> SEQ level0 \*arabic </w:instrText>
      </w:r>
      <w:r w:rsidRPr="007772C4">
        <w:rPr>
          <w:lang w:val="fr-FR"/>
        </w:rPr>
        <w:fldChar w:fldCharType="separate"/>
      </w:r>
      <w:r w:rsidR="007772C4" w:rsidRPr="007772C4">
        <w:rPr>
          <w:noProof/>
          <w:lang w:val="fr-FR"/>
        </w:rPr>
        <w:t>61</w:t>
      </w:r>
      <w:r w:rsidRPr="007772C4">
        <w:rPr>
          <w:lang w:val="fr-FR"/>
        </w:rPr>
        <w:fldChar w:fldCharType="end"/>
      </w:r>
      <w:r w:rsidRPr="007772C4">
        <w:rPr>
          <w:lang w:val="fr-FR"/>
        </w:rPr>
        <w:t>.  </w:t>
      </w:r>
      <w:r w:rsidR="00C72CA7" w:rsidRPr="007772C4">
        <w:rPr>
          <w:lang w:val="fr-FR"/>
        </w:rPr>
        <w:t>La Cour n</w:t>
      </w:r>
      <w:r w:rsidR="007772C4" w:rsidRPr="007772C4">
        <w:rPr>
          <w:lang w:val="fr-FR"/>
        </w:rPr>
        <w:t>’</w:t>
      </w:r>
      <w:r w:rsidR="00C72CA7" w:rsidRPr="007772C4">
        <w:rPr>
          <w:lang w:val="fr-FR"/>
        </w:rPr>
        <w:t xml:space="preserve">aperçoit pas de lien de causalité entre la violation constatée et le dommage matériel allégué et rejette cette demande. En revanche, elle </w:t>
      </w:r>
      <w:r w:rsidR="00775EA1" w:rsidRPr="007772C4">
        <w:rPr>
          <w:lang w:val="fr-FR"/>
        </w:rPr>
        <w:t xml:space="preserve">estime que le requérant a </w:t>
      </w:r>
      <w:r w:rsidR="004871C4" w:rsidRPr="007772C4">
        <w:rPr>
          <w:lang w:val="fr-FR"/>
        </w:rPr>
        <w:t>subi</w:t>
      </w:r>
      <w:r w:rsidR="00775EA1" w:rsidRPr="007772C4">
        <w:rPr>
          <w:lang w:val="fr-FR"/>
        </w:rPr>
        <w:t xml:space="preserve"> un préjudice moral certain, auquel le constat de violation figurant dans le présent arrêt (paragraphe </w:t>
      </w:r>
      <w:r w:rsidR="001F48D9" w:rsidRPr="007772C4">
        <w:rPr>
          <w:lang w:val="fr-FR"/>
        </w:rPr>
        <w:fldChar w:fldCharType="begin"/>
      </w:r>
      <w:r w:rsidR="001F48D9" w:rsidRPr="007772C4">
        <w:rPr>
          <w:lang w:val="fr-FR"/>
        </w:rPr>
        <w:instrText xml:space="preserve"> REF pa61 \h  \* MERGEFORMAT </w:instrText>
      </w:r>
      <w:r w:rsidR="001F48D9" w:rsidRPr="007772C4">
        <w:rPr>
          <w:lang w:val="fr-FR"/>
        </w:rPr>
      </w:r>
      <w:r w:rsidR="001F48D9" w:rsidRPr="007772C4">
        <w:rPr>
          <w:lang w:val="fr-FR"/>
        </w:rPr>
        <w:fldChar w:fldCharType="separate"/>
      </w:r>
      <w:r w:rsidR="007772C4" w:rsidRPr="007772C4">
        <w:rPr>
          <w:rFonts w:eastAsia="Times New Roman"/>
          <w:noProof/>
          <w:lang w:val="fr-FR"/>
        </w:rPr>
        <w:t>57</w:t>
      </w:r>
      <w:r w:rsidR="001F48D9" w:rsidRPr="007772C4">
        <w:rPr>
          <w:lang w:val="fr-FR"/>
        </w:rPr>
        <w:fldChar w:fldCharType="end"/>
      </w:r>
      <w:r w:rsidR="00775EA1" w:rsidRPr="007772C4">
        <w:rPr>
          <w:lang w:val="fr-FR"/>
        </w:rPr>
        <w:t xml:space="preserve"> ci-dessus) ne suffit pas à remédier. </w:t>
      </w:r>
      <w:r w:rsidR="00C72CA7" w:rsidRPr="007772C4">
        <w:rPr>
          <w:lang w:val="fr-FR"/>
        </w:rPr>
        <w:t>La Cour</w:t>
      </w:r>
      <w:r w:rsidR="00775EA1" w:rsidRPr="007772C4">
        <w:rPr>
          <w:lang w:val="fr-FR"/>
        </w:rPr>
        <w:t xml:space="preserve"> rappelle que</w:t>
      </w:r>
      <w:r w:rsidR="004871C4" w:rsidRPr="007772C4">
        <w:rPr>
          <w:lang w:val="fr-FR"/>
        </w:rPr>
        <w:t>,</w:t>
      </w:r>
      <w:r w:rsidR="00775EA1" w:rsidRPr="007772C4">
        <w:rPr>
          <w:lang w:val="fr-FR"/>
        </w:rPr>
        <w:t xml:space="preserve"> lorsqu</w:t>
      </w:r>
      <w:r w:rsidR="007772C4" w:rsidRPr="007772C4">
        <w:rPr>
          <w:lang w:val="fr-FR"/>
        </w:rPr>
        <w:t>’</w:t>
      </w:r>
      <w:r w:rsidR="00775EA1" w:rsidRPr="007772C4">
        <w:rPr>
          <w:lang w:val="fr-FR"/>
        </w:rPr>
        <w:t>elle conclut que la condamnation d</w:t>
      </w:r>
      <w:r w:rsidR="007772C4" w:rsidRPr="007772C4">
        <w:rPr>
          <w:lang w:val="fr-FR"/>
        </w:rPr>
        <w:t>’</w:t>
      </w:r>
      <w:r w:rsidR="00775EA1" w:rsidRPr="007772C4">
        <w:rPr>
          <w:lang w:val="fr-FR"/>
        </w:rPr>
        <w:t>un requérant a été prononcée malgré l</w:t>
      </w:r>
      <w:r w:rsidR="007772C4" w:rsidRPr="007772C4">
        <w:rPr>
          <w:lang w:val="fr-FR"/>
        </w:rPr>
        <w:t>’</w:t>
      </w:r>
      <w:r w:rsidR="00775EA1" w:rsidRPr="007772C4">
        <w:rPr>
          <w:lang w:val="fr-FR"/>
        </w:rPr>
        <w:t>existence d</w:t>
      </w:r>
      <w:r w:rsidR="007772C4" w:rsidRPr="007772C4">
        <w:rPr>
          <w:lang w:val="fr-FR"/>
        </w:rPr>
        <w:t>’</w:t>
      </w:r>
      <w:r w:rsidR="00775EA1" w:rsidRPr="007772C4">
        <w:rPr>
          <w:lang w:val="fr-FR"/>
        </w:rPr>
        <w:t>une atteinte aux exigences d</w:t>
      </w:r>
      <w:r w:rsidR="007772C4" w:rsidRPr="007772C4">
        <w:rPr>
          <w:lang w:val="fr-FR"/>
        </w:rPr>
        <w:t>’</w:t>
      </w:r>
      <w:r w:rsidR="00775EA1" w:rsidRPr="007772C4">
        <w:rPr>
          <w:lang w:val="fr-FR"/>
        </w:rPr>
        <w:t>équité de la procédure, un nouveau procès ou une réouverture de la procédure, à la demande de l</w:t>
      </w:r>
      <w:r w:rsidR="007772C4" w:rsidRPr="007772C4">
        <w:rPr>
          <w:lang w:val="fr-FR"/>
        </w:rPr>
        <w:t>’</w:t>
      </w:r>
      <w:r w:rsidR="00775EA1" w:rsidRPr="007772C4">
        <w:rPr>
          <w:lang w:val="fr-FR"/>
        </w:rPr>
        <w:t xml:space="preserve">intéressé, représente en principe un moyen approprié de redresser la violation constatée (voir, </w:t>
      </w:r>
      <w:r w:rsidR="00775EA1" w:rsidRPr="007772C4">
        <w:rPr>
          <w:i/>
          <w:lang w:val="fr-FR"/>
        </w:rPr>
        <w:t>mutatis mutandis</w:t>
      </w:r>
      <w:r w:rsidR="00775EA1" w:rsidRPr="007772C4">
        <w:rPr>
          <w:lang w:val="fr-FR"/>
        </w:rPr>
        <w:t xml:space="preserve">, </w:t>
      </w:r>
      <w:proofErr w:type="spellStart"/>
      <w:r w:rsidR="00775EA1" w:rsidRPr="007772C4">
        <w:rPr>
          <w:i/>
          <w:lang w:val="fr-FR"/>
        </w:rPr>
        <w:t>Somogyi</w:t>
      </w:r>
      <w:proofErr w:type="spellEnd"/>
      <w:r w:rsidR="00775EA1" w:rsidRPr="007772C4">
        <w:rPr>
          <w:i/>
          <w:lang w:val="fr-FR"/>
        </w:rPr>
        <w:t xml:space="preserve"> c. Italie,</w:t>
      </w:r>
      <w:r w:rsidR="00775EA1" w:rsidRPr="007772C4">
        <w:rPr>
          <w:lang w:val="fr-FR"/>
        </w:rPr>
        <w:t xml:space="preserve"> n</w:t>
      </w:r>
      <w:r w:rsidR="00615CAA" w:rsidRPr="007772C4">
        <w:rPr>
          <w:vertAlign w:val="superscript"/>
          <w:lang w:val="fr-FR"/>
        </w:rPr>
        <w:t>o</w:t>
      </w:r>
      <w:r w:rsidR="00775EA1" w:rsidRPr="007772C4">
        <w:rPr>
          <w:lang w:val="fr-FR"/>
        </w:rPr>
        <w:t xml:space="preserve"> </w:t>
      </w:r>
      <w:hyperlink r:id="rId31" w:anchor="{&quot;appno&quot;:[&quot;67972/01&quot;]}" w:tgtFrame="_blank" w:history="1">
        <w:r w:rsidR="00775EA1" w:rsidRPr="007772C4">
          <w:rPr>
            <w:lang w:val="fr-FR"/>
          </w:rPr>
          <w:t>67972/01</w:t>
        </w:r>
      </w:hyperlink>
      <w:r w:rsidR="00775EA1" w:rsidRPr="007772C4">
        <w:rPr>
          <w:lang w:val="fr-FR"/>
        </w:rPr>
        <w:t>, § 86, CEDH 2004</w:t>
      </w:r>
      <w:r w:rsidR="00775EA1" w:rsidRPr="007772C4">
        <w:rPr>
          <w:lang w:val="fr-FR"/>
        </w:rPr>
        <w:noBreakHyphen/>
        <w:t xml:space="preserve">IV, </w:t>
      </w:r>
      <w:proofErr w:type="spellStart"/>
      <w:r w:rsidR="007772C4" w:rsidRPr="007772C4">
        <w:rPr>
          <w:i/>
          <w:lang w:val="fr-FR"/>
        </w:rPr>
        <w:t>Krasniki</w:t>
      </w:r>
      <w:proofErr w:type="spellEnd"/>
      <w:r w:rsidR="007772C4" w:rsidRPr="007772C4">
        <w:rPr>
          <w:i/>
          <w:lang w:val="fr-FR"/>
        </w:rPr>
        <w:t xml:space="preserve"> c. </w:t>
      </w:r>
      <w:r w:rsidR="00775EA1" w:rsidRPr="007772C4">
        <w:rPr>
          <w:i/>
          <w:lang w:val="fr-FR"/>
        </w:rPr>
        <w:t>République tchèque</w:t>
      </w:r>
      <w:r w:rsidR="00775EA1" w:rsidRPr="007772C4">
        <w:rPr>
          <w:lang w:val="fr-FR"/>
        </w:rPr>
        <w:t>, n</w:t>
      </w:r>
      <w:r w:rsidR="00615CAA" w:rsidRPr="007772C4">
        <w:rPr>
          <w:vertAlign w:val="superscript"/>
          <w:lang w:val="fr-FR"/>
        </w:rPr>
        <w:t>o</w:t>
      </w:r>
      <w:r w:rsidR="00775EA1" w:rsidRPr="007772C4">
        <w:rPr>
          <w:lang w:val="fr-FR"/>
        </w:rPr>
        <w:t xml:space="preserve"> </w:t>
      </w:r>
      <w:hyperlink r:id="rId32" w:anchor="{&quot;appno&quot;:[&quot;51277/99&quot;]}" w:tgtFrame="_blank" w:history="1">
        <w:r w:rsidR="00775EA1" w:rsidRPr="007772C4">
          <w:rPr>
            <w:lang w:val="fr-FR"/>
          </w:rPr>
          <w:t>51277/99</w:t>
        </w:r>
      </w:hyperlink>
      <w:r w:rsidR="00775EA1" w:rsidRPr="007772C4">
        <w:rPr>
          <w:lang w:val="fr-FR"/>
        </w:rPr>
        <w:t xml:space="preserve">, § 93, 28 février 2006, et </w:t>
      </w:r>
      <w:proofErr w:type="spellStart"/>
      <w:r w:rsidR="00775EA1" w:rsidRPr="007772C4">
        <w:rPr>
          <w:i/>
          <w:lang w:val="fr-FR"/>
        </w:rPr>
        <w:t>Tseber</w:t>
      </w:r>
      <w:proofErr w:type="spellEnd"/>
      <w:r w:rsidR="00775EA1" w:rsidRPr="007772C4">
        <w:rPr>
          <w:i/>
          <w:lang w:val="fr-FR"/>
        </w:rPr>
        <w:t>,</w:t>
      </w:r>
      <w:r w:rsidR="00775EA1" w:rsidRPr="007772C4">
        <w:rPr>
          <w:lang w:val="fr-FR"/>
        </w:rPr>
        <w:t xml:space="preserve"> précité, § 75).</w:t>
      </w:r>
      <w:r w:rsidR="006B4561" w:rsidRPr="007772C4">
        <w:rPr>
          <w:lang w:val="fr-FR"/>
        </w:rPr>
        <w:t xml:space="preserve"> Eu égard aux circonstances de la cause et statuant en équité comme le veut l</w:t>
      </w:r>
      <w:r w:rsidR="007772C4" w:rsidRPr="007772C4">
        <w:rPr>
          <w:lang w:val="fr-FR"/>
        </w:rPr>
        <w:t>’</w:t>
      </w:r>
      <w:r w:rsidR="006B4561" w:rsidRPr="007772C4">
        <w:rPr>
          <w:lang w:val="fr-FR"/>
        </w:rPr>
        <w:t>article 41 de la Convention, elle décide</w:t>
      </w:r>
      <w:r w:rsidR="00025B24" w:rsidRPr="007772C4">
        <w:rPr>
          <w:lang w:val="fr-FR"/>
        </w:rPr>
        <w:t xml:space="preserve"> toutefois</w:t>
      </w:r>
      <w:r w:rsidR="006B4561" w:rsidRPr="007772C4">
        <w:rPr>
          <w:lang w:val="fr-FR"/>
        </w:rPr>
        <w:t xml:space="preserve"> </w:t>
      </w:r>
      <w:r w:rsidR="00025B24" w:rsidRPr="007772C4">
        <w:rPr>
          <w:lang w:val="fr-FR"/>
        </w:rPr>
        <w:t>d</w:t>
      </w:r>
      <w:r w:rsidR="007772C4" w:rsidRPr="007772C4">
        <w:rPr>
          <w:lang w:val="fr-FR"/>
        </w:rPr>
        <w:t>’</w:t>
      </w:r>
      <w:r w:rsidR="00025B24" w:rsidRPr="007772C4">
        <w:rPr>
          <w:lang w:val="fr-FR"/>
        </w:rPr>
        <w:t>octroyer à l</w:t>
      </w:r>
      <w:r w:rsidR="007772C4" w:rsidRPr="007772C4">
        <w:rPr>
          <w:lang w:val="fr-FR"/>
        </w:rPr>
        <w:t>’</w:t>
      </w:r>
      <w:r w:rsidR="00025B24" w:rsidRPr="007772C4">
        <w:rPr>
          <w:lang w:val="fr-FR"/>
        </w:rPr>
        <w:t xml:space="preserve">intéressé </w:t>
      </w:r>
      <w:r w:rsidR="006B4561" w:rsidRPr="007772C4">
        <w:rPr>
          <w:lang w:val="fr-FR"/>
        </w:rPr>
        <w:t xml:space="preserve">la somme de </w:t>
      </w:r>
      <w:r w:rsidR="009C3F4F" w:rsidRPr="007772C4">
        <w:rPr>
          <w:lang w:val="fr-FR"/>
        </w:rPr>
        <w:t>3</w:t>
      </w:r>
      <w:r w:rsidR="00025B24" w:rsidRPr="007772C4">
        <w:rPr>
          <w:lang w:val="fr-FR"/>
        </w:rPr>
        <w:t> </w:t>
      </w:r>
      <w:r w:rsidR="006B4561" w:rsidRPr="007772C4">
        <w:rPr>
          <w:lang w:val="fr-FR"/>
        </w:rPr>
        <w:t>000 EUR.</w:t>
      </w:r>
    </w:p>
    <w:p w:rsidR="00E77CB3" w:rsidRPr="007772C4" w:rsidRDefault="00E77CB3" w:rsidP="007772C4">
      <w:pPr>
        <w:pStyle w:val="ECHRHeading2"/>
        <w:rPr>
          <w:lang w:val="fr-FR"/>
        </w:rPr>
      </w:pPr>
      <w:r w:rsidRPr="007772C4">
        <w:rPr>
          <w:lang w:val="fr-FR"/>
        </w:rPr>
        <w:t>B.</w:t>
      </w:r>
      <w:proofErr w:type="gramStart"/>
      <w:r w:rsidRPr="007772C4">
        <w:rPr>
          <w:lang w:val="fr-FR"/>
        </w:rPr>
        <w:t>  Frais</w:t>
      </w:r>
      <w:proofErr w:type="gramEnd"/>
      <w:r w:rsidRPr="007772C4">
        <w:rPr>
          <w:lang w:val="fr-FR"/>
        </w:rPr>
        <w:t xml:space="preserve"> et dépens</w:t>
      </w:r>
    </w:p>
    <w:p w:rsidR="00E77CB3" w:rsidRPr="007772C4" w:rsidRDefault="00314B2C" w:rsidP="007772C4">
      <w:pPr>
        <w:pStyle w:val="ECHRPara"/>
        <w:rPr>
          <w:lang w:val="fr-FR"/>
        </w:rPr>
      </w:pPr>
      <w:r w:rsidRPr="007772C4">
        <w:rPr>
          <w:lang w:val="fr-FR"/>
        </w:rPr>
        <w:fldChar w:fldCharType="begin"/>
      </w:r>
      <w:r w:rsidRPr="007772C4">
        <w:rPr>
          <w:lang w:val="fr-FR"/>
        </w:rPr>
        <w:instrText xml:space="preserve"> SEQ level0 \*arabic </w:instrText>
      </w:r>
      <w:r w:rsidRPr="007772C4">
        <w:rPr>
          <w:lang w:val="fr-FR"/>
        </w:rPr>
        <w:fldChar w:fldCharType="separate"/>
      </w:r>
      <w:r w:rsidR="007772C4" w:rsidRPr="007772C4">
        <w:rPr>
          <w:noProof/>
          <w:lang w:val="fr-FR"/>
        </w:rPr>
        <w:t>62</w:t>
      </w:r>
      <w:r w:rsidRPr="007772C4">
        <w:rPr>
          <w:lang w:val="fr-FR"/>
        </w:rPr>
        <w:fldChar w:fldCharType="end"/>
      </w:r>
      <w:r w:rsidR="00E77CB3" w:rsidRPr="007772C4">
        <w:rPr>
          <w:lang w:val="fr-FR"/>
        </w:rPr>
        <w:t>.  </w:t>
      </w:r>
      <w:r w:rsidR="00B43662" w:rsidRPr="007772C4">
        <w:rPr>
          <w:lang w:val="fr-FR"/>
        </w:rPr>
        <w:t>Justificatifs à l</w:t>
      </w:r>
      <w:r w:rsidR="007772C4" w:rsidRPr="007772C4">
        <w:rPr>
          <w:lang w:val="fr-FR"/>
        </w:rPr>
        <w:t>’</w:t>
      </w:r>
      <w:r w:rsidR="00B43662" w:rsidRPr="007772C4">
        <w:rPr>
          <w:lang w:val="fr-FR"/>
        </w:rPr>
        <w:t>appui, l</w:t>
      </w:r>
      <w:r w:rsidRPr="007772C4">
        <w:rPr>
          <w:lang w:val="fr-FR"/>
        </w:rPr>
        <w:t>e requérant</w:t>
      </w:r>
      <w:r w:rsidR="00E77CB3" w:rsidRPr="007772C4">
        <w:rPr>
          <w:lang w:val="fr-FR"/>
        </w:rPr>
        <w:t xml:space="preserve"> demande également </w:t>
      </w:r>
      <w:r w:rsidR="00B43662" w:rsidRPr="007772C4">
        <w:rPr>
          <w:lang w:val="fr-FR"/>
        </w:rPr>
        <w:t xml:space="preserve">10 080 </w:t>
      </w:r>
      <w:r w:rsidR="00E77CB3" w:rsidRPr="007772C4">
        <w:rPr>
          <w:lang w:val="fr-FR"/>
        </w:rPr>
        <w:t xml:space="preserve">EUR </w:t>
      </w:r>
      <w:r w:rsidR="00025B24" w:rsidRPr="007772C4">
        <w:rPr>
          <w:lang w:val="fr-FR"/>
        </w:rPr>
        <w:t>en remboursement d</w:t>
      </w:r>
      <w:r w:rsidR="00E77CB3" w:rsidRPr="007772C4">
        <w:rPr>
          <w:lang w:val="fr-FR"/>
        </w:rPr>
        <w:t>es frais et dépens engagés devant les juridictions internes</w:t>
      </w:r>
      <w:r w:rsidR="009247BD" w:rsidRPr="007772C4">
        <w:rPr>
          <w:lang w:val="fr-FR"/>
        </w:rPr>
        <w:t>,</w:t>
      </w:r>
      <w:r w:rsidR="00E77CB3" w:rsidRPr="007772C4">
        <w:rPr>
          <w:lang w:val="fr-FR"/>
        </w:rPr>
        <w:t xml:space="preserve"> et </w:t>
      </w:r>
      <w:r w:rsidR="00B43662" w:rsidRPr="007772C4">
        <w:rPr>
          <w:lang w:val="fr-FR"/>
        </w:rPr>
        <w:t>4 920</w:t>
      </w:r>
      <w:r w:rsidR="00E77CB3" w:rsidRPr="007772C4">
        <w:rPr>
          <w:lang w:val="fr-FR"/>
        </w:rPr>
        <w:t xml:space="preserve"> EUR </w:t>
      </w:r>
      <w:r w:rsidR="00025B24" w:rsidRPr="007772C4">
        <w:rPr>
          <w:lang w:val="fr-FR"/>
        </w:rPr>
        <w:t>en remboursement</w:t>
      </w:r>
      <w:r w:rsidR="00025B24" w:rsidRPr="007772C4" w:rsidDel="00025B24">
        <w:rPr>
          <w:lang w:val="fr-FR"/>
        </w:rPr>
        <w:t xml:space="preserve"> </w:t>
      </w:r>
      <w:r w:rsidR="00025B24" w:rsidRPr="007772C4">
        <w:rPr>
          <w:lang w:val="fr-FR"/>
        </w:rPr>
        <w:t xml:space="preserve">de </w:t>
      </w:r>
      <w:r w:rsidR="00E77CB3" w:rsidRPr="007772C4">
        <w:rPr>
          <w:lang w:val="fr-FR"/>
        </w:rPr>
        <w:t>ceux engagés devant</w:t>
      </w:r>
      <w:r w:rsidR="00B43662" w:rsidRPr="007772C4">
        <w:rPr>
          <w:lang w:val="fr-FR"/>
        </w:rPr>
        <w:t xml:space="preserve"> </w:t>
      </w:r>
      <w:r w:rsidR="00E77CB3" w:rsidRPr="007772C4">
        <w:rPr>
          <w:lang w:val="fr-FR"/>
        </w:rPr>
        <w:t>la Cour.</w:t>
      </w:r>
    </w:p>
    <w:p w:rsidR="00E77CB3" w:rsidRPr="007772C4" w:rsidRDefault="00314B2C" w:rsidP="007772C4">
      <w:pPr>
        <w:pStyle w:val="ECHRPara"/>
        <w:rPr>
          <w:lang w:val="fr-FR"/>
        </w:rPr>
      </w:pPr>
      <w:r w:rsidRPr="007772C4">
        <w:rPr>
          <w:lang w:val="fr-FR"/>
        </w:rPr>
        <w:lastRenderedPageBreak/>
        <w:fldChar w:fldCharType="begin"/>
      </w:r>
      <w:r w:rsidRPr="007772C4">
        <w:rPr>
          <w:lang w:val="fr-FR"/>
        </w:rPr>
        <w:instrText xml:space="preserve"> SEQ level0 \*arabic </w:instrText>
      </w:r>
      <w:r w:rsidRPr="007772C4">
        <w:rPr>
          <w:lang w:val="fr-FR"/>
        </w:rPr>
        <w:fldChar w:fldCharType="separate"/>
      </w:r>
      <w:r w:rsidR="007772C4" w:rsidRPr="007772C4">
        <w:rPr>
          <w:noProof/>
          <w:lang w:val="fr-FR"/>
        </w:rPr>
        <w:t>63</w:t>
      </w:r>
      <w:r w:rsidRPr="007772C4">
        <w:rPr>
          <w:lang w:val="fr-FR"/>
        </w:rPr>
        <w:fldChar w:fldCharType="end"/>
      </w:r>
      <w:r w:rsidR="00E77CB3" w:rsidRPr="007772C4">
        <w:rPr>
          <w:lang w:val="fr-FR"/>
        </w:rPr>
        <w:t xml:space="preserve">.  Le </w:t>
      </w:r>
      <w:r w:rsidR="00B43662" w:rsidRPr="007772C4">
        <w:rPr>
          <w:lang w:val="fr-FR"/>
        </w:rPr>
        <w:t xml:space="preserve">Gouvernement </w:t>
      </w:r>
      <w:r w:rsidR="009247BD" w:rsidRPr="007772C4">
        <w:rPr>
          <w:lang w:val="fr-FR"/>
        </w:rPr>
        <w:t>conteste</w:t>
      </w:r>
      <w:r w:rsidR="00C24420" w:rsidRPr="007772C4">
        <w:rPr>
          <w:lang w:val="fr-FR"/>
        </w:rPr>
        <w:t xml:space="preserve"> ces demandes, arguant </w:t>
      </w:r>
      <w:r w:rsidR="00B43662" w:rsidRPr="007772C4">
        <w:rPr>
          <w:lang w:val="fr-FR"/>
        </w:rPr>
        <w:t>que l</w:t>
      </w:r>
      <w:r w:rsidR="00C24420" w:rsidRPr="007772C4">
        <w:rPr>
          <w:lang w:val="fr-FR"/>
        </w:rPr>
        <w:t xml:space="preserve">a preuve </w:t>
      </w:r>
      <w:r w:rsidR="009247BD" w:rsidRPr="007772C4">
        <w:rPr>
          <w:lang w:val="fr-FR"/>
        </w:rPr>
        <w:t>de l</w:t>
      </w:r>
      <w:r w:rsidR="007772C4" w:rsidRPr="007772C4">
        <w:rPr>
          <w:lang w:val="fr-FR"/>
        </w:rPr>
        <w:t>’</w:t>
      </w:r>
      <w:r w:rsidR="009247BD" w:rsidRPr="007772C4">
        <w:rPr>
          <w:lang w:val="fr-FR"/>
        </w:rPr>
        <w:t>engagement réel d</w:t>
      </w:r>
      <w:r w:rsidR="00C24420" w:rsidRPr="007772C4">
        <w:rPr>
          <w:lang w:val="fr-FR"/>
        </w:rPr>
        <w:t>es</w:t>
      </w:r>
      <w:r w:rsidR="00B43662" w:rsidRPr="007772C4">
        <w:rPr>
          <w:lang w:val="fr-FR"/>
        </w:rPr>
        <w:t xml:space="preserve"> frais et dépens </w:t>
      </w:r>
      <w:r w:rsidR="00C24420" w:rsidRPr="007772C4">
        <w:rPr>
          <w:lang w:val="fr-FR"/>
        </w:rPr>
        <w:t>réclamés n</w:t>
      </w:r>
      <w:r w:rsidR="007772C4" w:rsidRPr="007772C4">
        <w:rPr>
          <w:lang w:val="fr-FR"/>
        </w:rPr>
        <w:t>’</w:t>
      </w:r>
      <w:r w:rsidR="00C24420" w:rsidRPr="007772C4">
        <w:rPr>
          <w:lang w:val="fr-FR"/>
        </w:rPr>
        <w:t>a pas été rapportée</w:t>
      </w:r>
      <w:r w:rsidR="00B43662" w:rsidRPr="007772C4">
        <w:rPr>
          <w:lang w:val="fr-FR"/>
        </w:rPr>
        <w:t>.</w:t>
      </w:r>
    </w:p>
    <w:p w:rsidR="00E77CB3" w:rsidRPr="007772C4" w:rsidRDefault="00314B2C" w:rsidP="007772C4">
      <w:pPr>
        <w:pStyle w:val="ECHRPara"/>
        <w:rPr>
          <w:lang w:val="fr-FR"/>
        </w:rPr>
      </w:pPr>
      <w:r w:rsidRPr="007772C4">
        <w:rPr>
          <w:lang w:val="fr-FR"/>
        </w:rPr>
        <w:fldChar w:fldCharType="begin"/>
      </w:r>
      <w:r w:rsidRPr="007772C4">
        <w:rPr>
          <w:lang w:val="fr-FR"/>
        </w:rPr>
        <w:instrText xml:space="preserve"> SEQ level0 \*arabic </w:instrText>
      </w:r>
      <w:r w:rsidRPr="007772C4">
        <w:rPr>
          <w:lang w:val="fr-FR"/>
        </w:rPr>
        <w:fldChar w:fldCharType="separate"/>
      </w:r>
      <w:r w:rsidR="007772C4" w:rsidRPr="007772C4">
        <w:rPr>
          <w:noProof/>
          <w:lang w:val="fr-FR"/>
        </w:rPr>
        <w:t>64</w:t>
      </w:r>
      <w:r w:rsidRPr="007772C4">
        <w:rPr>
          <w:lang w:val="fr-FR"/>
        </w:rPr>
        <w:fldChar w:fldCharType="end"/>
      </w:r>
      <w:r w:rsidR="00E77CB3" w:rsidRPr="007772C4">
        <w:rPr>
          <w:lang w:val="fr-FR"/>
        </w:rPr>
        <w:t>.  </w:t>
      </w:r>
      <w:r w:rsidRPr="007772C4">
        <w:rPr>
          <w:lang w:val="fr-FR"/>
        </w:rPr>
        <w:t>Selon la jurisprudence de la Cour, un requérant ne peut obtenir le remboursement de ses frais et dépens que dans la mesure où se trouvent établis leur réalité, leur nécessité et le caractère raisonnable de leur taux. En l</w:t>
      </w:r>
      <w:r w:rsidR="007772C4" w:rsidRPr="007772C4">
        <w:rPr>
          <w:lang w:val="fr-FR"/>
        </w:rPr>
        <w:t>’</w:t>
      </w:r>
      <w:r w:rsidRPr="007772C4">
        <w:rPr>
          <w:lang w:val="fr-FR"/>
        </w:rPr>
        <w:t>espèce, compte</w:t>
      </w:r>
      <w:r w:rsidR="00E77CB3" w:rsidRPr="007772C4">
        <w:rPr>
          <w:lang w:val="fr-FR"/>
        </w:rPr>
        <w:t xml:space="preserve"> tenu des documents </w:t>
      </w:r>
      <w:r w:rsidR="00D576CF" w:rsidRPr="007772C4">
        <w:rPr>
          <w:lang w:val="fr-FR"/>
        </w:rPr>
        <w:t>dont elle dispose</w:t>
      </w:r>
      <w:r w:rsidR="00E77CB3" w:rsidRPr="007772C4">
        <w:rPr>
          <w:lang w:val="fr-FR"/>
        </w:rPr>
        <w:t xml:space="preserve"> et de sa jurisprudence, la Cour estime raisonnable la somme de </w:t>
      </w:r>
      <w:r w:rsidR="00B43662" w:rsidRPr="007772C4">
        <w:rPr>
          <w:lang w:val="fr-FR"/>
        </w:rPr>
        <w:t>1</w:t>
      </w:r>
      <w:r w:rsidR="006B4561" w:rsidRPr="007772C4">
        <w:rPr>
          <w:lang w:val="fr-FR"/>
        </w:rPr>
        <w:t>0</w:t>
      </w:r>
      <w:r w:rsidR="00B43662" w:rsidRPr="007772C4">
        <w:rPr>
          <w:lang w:val="fr-FR"/>
        </w:rPr>
        <w:t xml:space="preserve"> 000 </w:t>
      </w:r>
      <w:r w:rsidR="00E77CB3" w:rsidRPr="007772C4">
        <w:rPr>
          <w:lang w:val="fr-FR"/>
        </w:rPr>
        <w:t>EUR tous frais confondus</w:t>
      </w:r>
      <w:r w:rsidR="00B43662" w:rsidRPr="007772C4">
        <w:rPr>
          <w:lang w:val="fr-FR"/>
        </w:rPr>
        <w:t xml:space="preserve"> </w:t>
      </w:r>
      <w:r w:rsidR="00E77CB3" w:rsidRPr="007772C4">
        <w:rPr>
          <w:lang w:val="fr-FR"/>
        </w:rPr>
        <w:t>et l</w:t>
      </w:r>
      <w:r w:rsidR="007772C4" w:rsidRPr="007772C4">
        <w:rPr>
          <w:lang w:val="fr-FR"/>
        </w:rPr>
        <w:t>’</w:t>
      </w:r>
      <w:r w:rsidR="00E77CB3" w:rsidRPr="007772C4">
        <w:rPr>
          <w:lang w:val="fr-FR"/>
        </w:rPr>
        <w:t xml:space="preserve">accorde </w:t>
      </w:r>
      <w:r w:rsidRPr="007772C4">
        <w:rPr>
          <w:lang w:val="fr-FR"/>
        </w:rPr>
        <w:t>au requérant</w:t>
      </w:r>
      <w:r w:rsidR="00E77CB3" w:rsidRPr="007772C4">
        <w:rPr>
          <w:lang w:val="fr-FR"/>
        </w:rPr>
        <w:t>.</w:t>
      </w:r>
    </w:p>
    <w:p w:rsidR="00E77CB3" w:rsidRPr="007772C4" w:rsidRDefault="00E77CB3" w:rsidP="007772C4">
      <w:pPr>
        <w:pStyle w:val="ECHRHeading2"/>
        <w:rPr>
          <w:lang w:val="fr-FR"/>
        </w:rPr>
      </w:pPr>
      <w:r w:rsidRPr="007772C4">
        <w:rPr>
          <w:lang w:val="fr-FR"/>
        </w:rPr>
        <w:t>C.</w:t>
      </w:r>
      <w:proofErr w:type="gramStart"/>
      <w:r w:rsidRPr="007772C4">
        <w:rPr>
          <w:lang w:val="fr-FR"/>
        </w:rPr>
        <w:t>  Intérêts</w:t>
      </w:r>
      <w:proofErr w:type="gramEnd"/>
      <w:r w:rsidRPr="007772C4">
        <w:rPr>
          <w:lang w:val="fr-FR"/>
        </w:rPr>
        <w:t xml:space="preserve"> moratoires</w:t>
      </w:r>
    </w:p>
    <w:p w:rsidR="00E77CB3" w:rsidRPr="007772C4" w:rsidRDefault="00314B2C" w:rsidP="007772C4">
      <w:pPr>
        <w:pStyle w:val="ECHRPara"/>
        <w:rPr>
          <w:lang w:val="fr-FR"/>
        </w:rPr>
      </w:pPr>
      <w:r w:rsidRPr="007772C4">
        <w:rPr>
          <w:lang w:val="fr-FR"/>
        </w:rPr>
        <w:fldChar w:fldCharType="begin"/>
      </w:r>
      <w:r w:rsidRPr="007772C4">
        <w:rPr>
          <w:lang w:val="fr-FR"/>
        </w:rPr>
        <w:instrText xml:space="preserve"> SEQ level0 \*arabic </w:instrText>
      </w:r>
      <w:r w:rsidRPr="007772C4">
        <w:rPr>
          <w:lang w:val="fr-FR"/>
        </w:rPr>
        <w:fldChar w:fldCharType="separate"/>
      </w:r>
      <w:r w:rsidR="007772C4" w:rsidRPr="007772C4">
        <w:rPr>
          <w:noProof/>
          <w:lang w:val="fr-FR"/>
        </w:rPr>
        <w:t>65</w:t>
      </w:r>
      <w:r w:rsidRPr="007772C4">
        <w:rPr>
          <w:lang w:val="fr-FR"/>
        </w:rPr>
        <w:fldChar w:fldCharType="end"/>
      </w:r>
      <w:r w:rsidR="00E77CB3" w:rsidRPr="007772C4">
        <w:rPr>
          <w:lang w:val="fr-FR"/>
        </w:rPr>
        <w:t>.  La Cour juge approprié de calquer le taux des intérêts moratoires sur le taux d</w:t>
      </w:r>
      <w:r w:rsidR="007772C4" w:rsidRPr="007772C4">
        <w:rPr>
          <w:lang w:val="fr-FR"/>
        </w:rPr>
        <w:t>’</w:t>
      </w:r>
      <w:r w:rsidR="00E77CB3" w:rsidRPr="007772C4">
        <w:rPr>
          <w:lang w:val="fr-FR"/>
        </w:rPr>
        <w:t>intérêt de la facilité de prêt marginal de la Banque centrale européenne majoré de trois points de pourcentage.</w:t>
      </w:r>
    </w:p>
    <w:p w:rsidR="00E77CB3" w:rsidRPr="007772C4" w:rsidRDefault="00E77CB3" w:rsidP="007772C4">
      <w:pPr>
        <w:pStyle w:val="ECHRTitle1"/>
        <w:rPr>
          <w:lang w:val="fr-FR"/>
        </w:rPr>
      </w:pPr>
      <w:r w:rsidRPr="007772C4">
        <w:rPr>
          <w:lang w:val="fr-FR"/>
        </w:rPr>
        <w:t>PAR CES MOTIFS, LA COUR</w:t>
      </w:r>
      <w:r w:rsidR="00D21185" w:rsidRPr="007772C4">
        <w:rPr>
          <w:lang w:val="fr-FR"/>
        </w:rPr>
        <w:t>,</w:t>
      </w:r>
    </w:p>
    <w:p w:rsidR="00FB2B45" w:rsidRPr="007772C4" w:rsidRDefault="00FB2B45" w:rsidP="007772C4">
      <w:pPr>
        <w:pStyle w:val="JuList"/>
        <w:rPr>
          <w:lang w:val="fr-FR"/>
        </w:rPr>
      </w:pPr>
      <w:r w:rsidRPr="007772C4">
        <w:rPr>
          <w:lang w:val="fr-FR"/>
        </w:rPr>
        <w:t>1.  </w:t>
      </w:r>
      <w:r w:rsidRPr="007772C4">
        <w:rPr>
          <w:i/>
          <w:lang w:val="fr-FR"/>
        </w:rPr>
        <w:t>Déclare</w:t>
      </w:r>
      <w:r w:rsidR="00E137D3" w:rsidRPr="007772C4">
        <w:rPr>
          <w:i/>
          <w:lang w:val="fr-FR"/>
        </w:rPr>
        <w:t>,</w:t>
      </w:r>
      <w:r w:rsidRPr="007772C4">
        <w:rPr>
          <w:lang w:val="fr-FR"/>
        </w:rPr>
        <w:t xml:space="preserve"> </w:t>
      </w:r>
      <w:r w:rsidR="00314B2C" w:rsidRPr="007772C4">
        <w:rPr>
          <w:lang w:val="fr-FR"/>
        </w:rPr>
        <w:t>à l</w:t>
      </w:r>
      <w:r w:rsidR="007772C4" w:rsidRPr="007772C4">
        <w:rPr>
          <w:lang w:val="fr-FR"/>
        </w:rPr>
        <w:t>’</w:t>
      </w:r>
      <w:r w:rsidR="00314B2C" w:rsidRPr="007772C4">
        <w:rPr>
          <w:lang w:val="fr-FR"/>
        </w:rPr>
        <w:t>unanimité, la requête recevable</w:t>
      </w:r>
      <w:r w:rsidR="00C24420" w:rsidRPr="007772C4">
        <w:rPr>
          <w:lang w:val="fr-FR"/>
        </w:rPr>
        <w:t> ;</w:t>
      </w:r>
    </w:p>
    <w:p w:rsidR="007B6813" w:rsidRPr="007772C4" w:rsidRDefault="007B6813" w:rsidP="007772C4">
      <w:pPr>
        <w:pStyle w:val="JuList"/>
        <w:rPr>
          <w:lang w:val="fr-FR"/>
        </w:rPr>
      </w:pPr>
    </w:p>
    <w:p w:rsidR="00E77CB3" w:rsidRPr="007772C4" w:rsidRDefault="006B4561" w:rsidP="007772C4">
      <w:pPr>
        <w:pStyle w:val="JuList"/>
        <w:rPr>
          <w:lang w:val="fr-FR"/>
        </w:rPr>
      </w:pPr>
      <w:r w:rsidRPr="007772C4">
        <w:rPr>
          <w:lang w:val="fr-FR"/>
        </w:rPr>
        <w:t>2</w:t>
      </w:r>
      <w:r w:rsidR="00E77CB3" w:rsidRPr="007772C4">
        <w:rPr>
          <w:lang w:val="fr-FR"/>
        </w:rPr>
        <w:t>.  </w:t>
      </w:r>
      <w:r w:rsidR="00E77CB3" w:rsidRPr="007772C4">
        <w:rPr>
          <w:i/>
          <w:lang w:val="fr-FR"/>
        </w:rPr>
        <w:t>Dit</w:t>
      </w:r>
      <w:r w:rsidR="00314B2C" w:rsidRPr="007772C4">
        <w:rPr>
          <w:lang w:val="fr-FR"/>
        </w:rPr>
        <w:t xml:space="preserve">, par </w:t>
      </w:r>
      <w:r w:rsidR="00B102E6" w:rsidRPr="007772C4">
        <w:rPr>
          <w:lang w:val="fr-FR"/>
        </w:rPr>
        <w:t xml:space="preserve">six </w:t>
      </w:r>
      <w:r w:rsidR="00314B2C" w:rsidRPr="007772C4">
        <w:rPr>
          <w:lang w:val="fr-FR"/>
        </w:rPr>
        <w:t xml:space="preserve">voix contre </w:t>
      </w:r>
      <w:r w:rsidR="00B102E6" w:rsidRPr="007772C4">
        <w:rPr>
          <w:lang w:val="fr-FR"/>
        </w:rPr>
        <w:t>une</w:t>
      </w:r>
      <w:r w:rsidR="00F3490F" w:rsidRPr="007772C4">
        <w:rPr>
          <w:lang w:val="fr-FR"/>
        </w:rPr>
        <w:t>,</w:t>
      </w:r>
      <w:r w:rsidR="00B102E6" w:rsidRPr="007772C4">
        <w:rPr>
          <w:lang w:val="fr-FR"/>
        </w:rPr>
        <w:t xml:space="preserve"> </w:t>
      </w:r>
      <w:r w:rsidR="00E77CB3" w:rsidRPr="007772C4">
        <w:rPr>
          <w:lang w:val="fr-FR"/>
        </w:rPr>
        <w:t>qu</w:t>
      </w:r>
      <w:r w:rsidR="007772C4" w:rsidRPr="007772C4">
        <w:rPr>
          <w:lang w:val="fr-FR"/>
        </w:rPr>
        <w:t>’</w:t>
      </w:r>
      <w:r w:rsidR="00E77CB3" w:rsidRPr="007772C4">
        <w:rPr>
          <w:lang w:val="fr-FR"/>
        </w:rPr>
        <w:t>il y a eu violation de l</w:t>
      </w:r>
      <w:r w:rsidR="007772C4" w:rsidRPr="007772C4">
        <w:rPr>
          <w:lang w:val="fr-FR"/>
        </w:rPr>
        <w:t>’</w:t>
      </w:r>
      <w:r w:rsidR="00E77CB3" w:rsidRPr="007772C4">
        <w:rPr>
          <w:lang w:val="fr-FR"/>
        </w:rPr>
        <w:t xml:space="preserve">article </w:t>
      </w:r>
      <w:r w:rsidR="00AF2A5C" w:rsidRPr="007772C4">
        <w:rPr>
          <w:lang w:val="fr-FR"/>
        </w:rPr>
        <w:t xml:space="preserve">6 §§ 1 et 3 d) </w:t>
      </w:r>
      <w:r w:rsidR="00E77CB3" w:rsidRPr="007772C4">
        <w:rPr>
          <w:lang w:val="fr-FR"/>
        </w:rPr>
        <w:t>de la Convention ;</w:t>
      </w:r>
    </w:p>
    <w:p w:rsidR="007B6813" w:rsidRPr="007772C4" w:rsidRDefault="007B6813" w:rsidP="007772C4">
      <w:pPr>
        <w:pStyle w:val="JuList"/>
        <w:rPr>
          <w:lang w:val="fr-FR"/>
        </w:rPr>
      </w:pPr>
    </w:p>
    <w:p w:rsidR="00E77CB3" w:rsidRPr="007772C4" w:rsidRDefault="006B4561" w:rsidP="007772C4">
      <w:pPr>
        <w:pStyle w:val="JuList"/>
        <w:rPr>
          <w:lang w:val="fr-FR"/>
        </w:rPr>
      </w:pPr>
      <w:r w:rsidRPr="007772C4">
        <w:rPr>
          <w:lang w:val="fr-FR"/>
        </w:rPr>
        <w:t>3</w:t>
      </w:r>
      <w:r w:rsidR="00E77CB3" w:rsidRPr="007772C4">
        <w:rPr>
          <w:lang w:val="fr-FR"/>
        </w:rPr>
        <w:t>.  </w:t>
      </w:r>
      <w:r w:rsidR="00E77CB3" w:rsidRPr="007772C4">
        <w:rPr>
          <w:i/>
          <w:lang w:val="fr-FR"/>
        </w:rPr>
        <w:t>Dit</w:t>
      </w:r>
      <w:r w:rsidR="00314B2C" w:rsidRPr="007772C4">
        <w:rPr>
          <w:lang w:val="fr-FR"/>
        </w:rPr>
        <w:t xml:space="preserve">, par </w:t>
      </w:r>
      <w:r w:rsidR="00B102E6" w:rsidRPr="007772C4">
        <w:rPr>
          <w:lang w:val="fr-FR"/>
        </w:rPr>
        <w:t>six</w:t>
      </w:r>
      <w:r w:rsidR="00314B2C" w:rsidRPr="007772C4">
        <w:rPr>
          <w:lang w:val="fr-FR"/>
        </w:rPr>
        <w:t xml:space="preserve"> voix contre </w:t>
      </w:r>
      <w:r w:rsidR="00B102E6" w:rsidRPr="007772C4">
        <w:rPr>
          <w:lang w:val="fr-FR"/>
        </w:rPr>
        <w:t>une</w:t>
      </w:r>
      <w:r w:rsidR="00314B2C" w:rsidRPr="007772C4">
        <w:rPr>
          <w:lang w:val="fr-FR"/>
        </w:rPr>
        <w:t>,</w:t>
      </w:r>
    </w:p>
    <w:p w:rsidR="00E77CB3" w:rsidRPr="007772C4" w:rsidRDefault="00E77CB3" w:rsidP="007772C4">
      <w:pPr>
        <w:pStyle w:val="JuLista"/>
        <w:rPr>
          <w:lang w:val="fr-FR"/>
        </w:rPr>
      </w:pPr>
      <w:r w:rsidRPr="007772C4">
        <w:rPr>
          <w:lang w:val="fr-FR"/>
        </w:rPr>
        <w:t>a)  que l</w:t>
      </w:r>
      <w:r w:rsidR="007772C4" w:rsidRPr="007772C4">
        <w:rPr>
          <w:lang w:val="fr-FR"/>
        </w:rPr>
        <w:t>’</w:t>
      </w:r>
      <w:r w:rsidRPr="007772C4">
        <w:rPr>
          <w:lang w:val="fr-FR"/>
        </w:rPr>
        <w:t xml:space="preserve">État défendeur doit verser </w:t>
      </w:r>
      <w:r w:rsidR="00314B2C" w:rsidRPr="007772C4">
        <w:rPr>
          <w:lang w:val="fr-FR"/>
        </w:rPr>
        <w:t>au requérant</w:t>
      </w:r>
      <w:r w:rsidRPr="007772C4">
        <w:rPr>
          <w:lang w:val="fr-FR"/>
        </w:rPr>
        <w:t>, dans les trois mois</w:t>
      </w:r>
      <w:r w:rsidR="006B4561" w:rsidRPr="007772C4">
        <w:rPr>
          <w:lang w:val="fr-FR"/>
        </w:rPr>
        <w:t xml:space="preserve"> </w:t>
      </w:r>
      <w:r w:rsidR="00314B2C" w:rsidRPr="007772C4">
        <w:rPr>
          <w:lang w:val="fr-FR"/>
        </w:rPr>
        <w:t>à compter du jour où l</w:t>
      </w:r>
      <w:r w:rsidR="007772C4" w:rsidRPr="007772C4">
        <w:rPr>
          <w:lang w:val="fr-FR"/>
        </w:rPr>
        <w:t>’</w:t>
      </w:r>
      <w:r w:rsidR="00314B2C" w:rsidRPr="007772C4">
        <w:rPr>
          <w:lang w:val="fr-FR"/>
        </w:rPr>
        <w:t>arrêt sera devenu définitif conformément à l</w:t>
      </w:r>
      <w:r w:rsidR="007772C4" w:rsidRPr="007772C4">
        <w:rPr>
          <w:lang w:val="fr-FR"/>
        </w:rPr>
        <w:t>’</w:t>
      </w:r>
      <w:r w:rsidR="00314B2C" w:rsidRPr="007772C4">
        <w:rPr>
          <w:lang w:val="fr-FR"/>
        </w:rPr>
        <w:t xml:space="preserve">article 44 § 2 de la </w:t>
      </w:r>
      <w:r w:rsidR="00880ECD" w:rsidRPr="007772C4">
        <w:rPr>
          <w:lang w:val="fr-FR"/>
        </w:rPr>
        <w:t>Convention,</w:t>
      </w:r>
      <w:r w:rsidRPr="007772C4">
        <w:rPr>
          <w:lang w:val="fr-FR"/>
        </w:rPr>
        <w:t xml:space="preserve"> les sommes suivantes :</w:t>
      </w:r>
    </w:p>
    <w:p w:rsidR="00E77CB3" w:rsidRPr="007772C4" w:rsidRDefault="00E77CB3" w:rsidP="007772C4">
      <w:pPr>
        <w:pStyle w:val="JuListi"/>
        <w:rPr>
          <w:lang w:val="fr-FR" w:eastAsia="en-GB"/>
        </w:rPr>
      </w:pPr>
      <w:r w:rsidRPr="007772C4">
        <w:rPr>
          <w:lang w:val="fr-FR" w:eastAsia="en-GB"/>
        </w:rPr>
        <w:t>i</w:t>
      </w:r>
      <w:r w:rsidR="004763E8" w:rsidRPr="007772C4">
        <w:rPr>
          <w:lang w:val="fr-FR" w:eastAsia="en-GB"/>
        </w:rPr>
        <w:t>.</w:t>
      </w:r>
      <w:proofErr w:type="gramStart"/>
      <w:r w:rsidRPr="007772C4">
        <w:rPr>
          <w:lang w:val="fr-FR" w:eastAsia="en-GB"/>
        </w:rPr>
        <w:t>  </w:t>
      </w:r>
      <w:r w:rsidR="006B4561" w:rsidRPr="007772C4">
        <w:rPr>
          <w:lang w:val="fr-FR"/>
        </w:rPr>
        <w:t>3</w:t>
      </w:r>
      <w:proofErr w:type="gramEnd"/>
      <w:r w:rsidR="006B4561" w:rsidRPr="007772C4">
        <w:rPr>
          <w:lang w:val="fr-FR"/>
        </w:rPr>
        <w:t> 000</w:t>
      </w:r>
      <w:r w:rsidRPr="007772C4">
        <w:rPr>
          <w:lang w:val="fr-FR" w:eastAsia="en-GB"/>
        </w:rPr>
        <w:t xml:space="preserve"> EUR (</w:t>
      </w:r>
      <w:r w:rsidR="006B4561" w:rsidRPr="007772C4">
        <w:rPr>
          <w:lang w:val="fr-FR" w:eastAsia="en-GB"/>
        </w:rPr>
        <w:t>trois mille</w:t>
      </w:r>
      <w:r w:rsidRPr="007772C4">
        <w:rPr>
          <w:lang w:val="fr-FR" w:eastAsia="en-GB"/>
        </w:rPr>
        <w:t xml:space="preserve"> euros</w:t>
      </w:r>
      <w:r w:rsidR="00880ECD" w:rsidRPr="007772C4">
        <w:rPr>
          <w:lang w:val="fr-FR" w:eastAsia="en-GB"/>
        </w:rPr>
        <w:t>),</w:t>
      </w:r>
      <w:r w:rsidRPr="007772C4">
        <w:rPr>
          <w:lang w:val="fr-FR" w:eastAsia="en-GB"/>
        </w:rPr>
        <w:t xml:space="preserve"> plus tout montant pouvant être dû à titre d</w:t>
      </w:r>
      <w:r w:rsidR="007772C4" w:rsidRPr="007772C4">
        <w:rPr>
          <w:lang w:val="fr-FR" w:eastAsia="en-GB"/>
        </w:rPr>
        <w:t>’</w:t>
      </w:r>
      <w:r w:rsidR="006B4561" w:rsidRPr="007772C4">
        <w:rPr>
          <w:lang w:val="fr-FR" w:eastAsia="en-GB"/>
        </w:rPr>
        <w:t>impôt</w:t>
      </w:r>
      <w:r w:rsidRPr="007772C4">
        <w:rPr>
          <w:lang w:val="fr-FR" w:eastAsia="en-GB"/>
        </w:rPr>
        <w:t>, pour dommage moral</w:t>
      </w:r>
      <w:r w:rsidR="00C24420" w:rsidRPr="007772C4">
        <w:rPr>
          <w:lang w:val="fr-FR" w:eastAsia="en-GB"/>
        </w:rPr>
        <w:t>,</w:t>
      </w:r>
    </w:p>
    <w:p w:rsidR="00E77CB3" w:rsidRPr="007772C4" w:rsidRDefault="006B4561" w:rsidP="007772C4">
      <w:pPr>
        <w:pStyle w:val="JuListi"/>
        <w:rPr>
          <w:lang w:val="fr-FR" w:eastAsia="en-GB"/>
        </w:rPr>
      </w:pPr>
      <w:r w:rsidRPr="007772C4">
        <w:rPr>
          <w:lang w:val="fr-FR" w:eastAsia="en-GB"/>
        </w:rPr>
        <w:t>ii</w:t>
      </w:r>
      <w:r w:rsidR="004763E8" w:rsidRPr="007772C4">
        <w:rPr>
          <w:lang w:val="fr-FR" w:eastAsia="en-GB"/>
        </w:rPr>
        <w:t>.</w:t>
      </w:r>
      <w:proofErr w:type="gramStart"/>
      <w:r w:rsidR="00E77CB3" w:rsidRPr="007772C4">
        <w:rPr>
          <w:lang w:val="fr-FR" w:eastAsia="en-GB"/>
        </w:rPr>
        <w:t>  </w:t>
      </w:r>
      <w:r w:rsidRPr="007772C4">
        <w:rPr>
          <w:lang w:val="fr-FR" w:eastAsia="en-GB"/>
        </w:rPr>
        <w:t>10</w:t>
      </w:r>
      <w:proofErr w:type="gramEnd"/>
      <w:r w:rsidRPr="007772C4">
        <w:rPr>
          <w:lang w:val="fr-FR" w:eastAsia="en-GB"/>
        </w:rPr>
        <w:t> 000</w:t>
      </w:r>
      <w:r w:rsidR="00E77CB3" w:rsidRPr="007772C4">
        <w:rPr>
          <w:lang w:val="fr-FR" w:eastAsia="en-GB"/>
        </w:rPr>
        <w:t xml:space="preserve"> EUR (</w:t>
      </w:r>
      <w:r w:rsidRPr="007772C4">
        <w:rPr>
          <w:lang w:val="fr-FR" w:eastAsia="en-GB"/>
        </w:rPr>
        <w:t>dix mille</w:t>
      </w:r>
      <w:r w:rsidR="00E77CB3" w:rsidRPr="007772C4">
        <w:rPr>
          <w:lang w:val="fr-FR" w:eastAsia="en-GB"/>
        </w:rPr>
        <w:t xml:space="preserve"> euros), plus tout montant </w:t>
      </w:r>
      <w:r w:rsidR="005E37C6" w:rsidRPr="007772C4">
        <w:rPr>
          <w:lang w:val="fr-FR" w:eastAsia="en-GB"/>
        </w:rPr>
        <w:t xml:space="preserve">pouvant être dû par </w:t>
      </w:r>
      <w:r w:rsidR="00314B2C" w:rsidRPr="007772C4">
        <w:rPr>
          <w:lang w:val="fr-FR"/>
        </w:rPr>
        <w:t>le requérant</w:t>
      </w:r>
      <w:r w:rsidR="005E37C6" w:rsidRPr="007772C4">
        <w:rPr>
          <w:lang w:val="fr-FR" w:eastAsia="en-GB"/>
        </w:rPr>
        <w:t xml:space="preserve"> à titre d</w:t>
      </w:r>
      <w:r w:rsidR="007772C4" w:rsidRPr="007772C4">
        <w:rPr>
          <w:lang w:val="fr-FR" w:eastAsia="en-GB"/>
        </w:rPr>
        <w:t>’</w:t>
      </w:r>
      <w:r w:rsidR="005E37C6" w:rsidRPr="007772C4">
        <w:rPr>
          <w:lang w:val="fr-FR" w:eastAsia="en-GB"/>
        </w:rPr>
        <w:t>impôt, pour frais et dépens</w:t>
      </w:r>
      <w:r w:rsidR="00E77CB3" w:rsidRPr="007772C4">
        <w:rPr>
          <w:lang w:val="fr-FR" w:eastAsia="en-GB"/>
        </w:rPr>
        <w:t> ;</w:t>
      </w:r>
    </w:p>
    <w:p w:rsidR="003175BA" w:rsidRPr="007772C4" w:rsidRDefault="00E77CB3" w:rsidP="007772C4">
      <w:pPr>
        <w:pStyle w:val="JuLista"/>
        <w:rPr>
          <w:lang w:val="fr-FR"/>
        </w:rPr>
      </w:pPr>
      <w:r w:rsidRPr="007772C4">
        <w:rPr>
          <w:lang w:val="fr-FR"/>
        </w:rPr>
        <w:t>b)  qu</w:t>
      </w:r>
      <w:r w:rsidR="007772C4" w:rsidRPr="007772C4">
        <w:rPr>
          <w:lang w:val="fr-FR"/>
        </w:rPr>
        <w:t>’</w:t>
      </w:r>
      <w:r w:rsidRPr="007772C4">
        <w:rPr>
          <w:lang w:val="fr-FR"/>
        </w:rPr>
        <w:t>à compter de l</w:t>
      </w:r>
      <w:r w:rsidR="007772C4" w:rsidRPr="007772C4">
        <w:rPr>
          <w:lang w:val="fr-FR"/>
        </w:rPr>
        <w:t>’</w:t>
      </w:r>
      <w:r w:rsidRPr="007772C4">
        <w:rPr>
          <w:lang w:val="fr-FR"/>
        </w:rPr>
        <w:t>expiration dudit délai et jusqu</w:t>
      </w:r>
      <w:r w:rsidR="007772C4" w:rsidRPr="007772C4">
        <w:rPr>
          <w:lang w:val="fr-FR"/>
        </w:rPr>
        <w:t>’</w:t>
      </w:r>
      <w:r w:rsidRPr="007772C4">
        <w:rPr>
          <w:lang w:val="fr-FR"/>
        </w:rPr>
        <w:t>au versement, ces montants seront à majorer d</w:t>
      </w:r>
      <w:r w:rsidR="007772C4" w:rsidRPr="007772C4">
        <w:rPr>
          <w:lang w:val="fr-FR"/>
        </w:rPr>
        <w:t>’</w:t>
      </w:r>
      <w:r w:rsidRPr="007772C4">
        <w:rPr>
          <w:lang w:val="fr-FR"/>
        </w:rPr>
        <w:t>un intérêt simple à un taux égal à celui de la facilité de prêt marginal de la Banque centrale européenne applicable pendant cette période, augmenté de trois points de pourcentage ;</w:t>
      </w:r>
    </w:p>
    <w:p w:rsidR="007B6813" w:rsidRPr="007772C4" w:rsidRDefault="007B6813" w:rsidP="007772C4">
      <w:pPr>
        <w:rPr>
          <w:lang w:val="fr-FR"/>
        </w:rPr>
      </w:pPr>
    </w:p>
    <w:p w:rsidR="00E77CB3" w:rsidRPr="007772C4" w:rsidRDefault="006B4561" w:rsidP="007772C4">
      <w:pPr>
        <w:pStyle w:val="JuList"/>
        <w:keepNext/>
        <w:keepLines/>
        <w:rPr>
          <w:lang w:val="fr-FR"/>
        </w:rPr>
      </w:pPr>
      <w:r w:rsidRPr="007772C4">
        <w:rPr>
          <w:lang w:val="fr-FR"/>
        </w:rPr>
        <w:lastRenderedPageBreak/>
        <w:t>4</w:t>
      </w:r>
      <w:r w:rsidR="00E77CB3" w:rsidRPr="007772C4">
        <w:rPr>
          <w:lang w:val="fr-FR"/>
        </w:rPr>
        <w:t>.  </w:t>
      </w:r>
      <w:r w:rsidR="00E77CB3" w:rsidRPr="007772C4">
        <w:rPr>
          <w:i/>
          <w:lang w:val="fr-FR"/>
        </w:rPr>
        <w:t>Rejette</w:t>
      </w:r>
      <w:r w:rsidR="00314B2C" w:rsidRPr="007772C4">
        <w:rPr>
          <w:lang w:val="fr-FR"/>
        </w:rPr>
        <w:t>, à l</w:t>
      </w:r>
      <w:r w:rsidR="007772C4" w:rsidRPr="007772C4">
        <w:rPr>
          <w:lang w:val="fr-FR"/>
        </w:rPr>
        <w:t>’</w:t>
      </w:r>
      <w:r w:rsidR="00314B2C" w:rsidRPr="007772C4">
        <w:rPr>
          <w:lang w:val="fr-FR"/>
        </w:rPr>
        <w:t xml:space="preserve">unanimité, </w:t>
      </w:r>
      <w:r w:rsidR="00E77CB3" w:rsidRPr="007772C4">
        <w:rPr>
          <w:lang w:val="fr-FR"/>
        </w:rPr>
        <w:t>la demande de satisfaction équitable pour le surplus.</w:t>
      </w:r>
    </w:p>
    <w:p w:rsidR="00E77CB3" w:rsidRPr="007772C4" w:rsidRDefault="00E77CB3" w:rsidP="007772C4">
      <w:pPr>
        <w:pStyle w:val="JuParaLast"/>
        <w:rPr>
          <w:lang w:val="fr-FR"/>
        </w:rPr>
      </w:pPr>
      <w:r w:rsidRPr="007772C4">
        <w:rPr>
          <w:lang w:val="fr-FR"/>
        </w:rPr>
        <w:t>Fait en français, puis communiqué par écrit le </w:t>
      </w:r>
      <w:r w:rsidR="00D21185" w:rsidRPr="007772C4">
        <w:rPr>
          <w:lang w:val="fr-FR"/>
        </w:rPr>
        <w:t>12 octobre 2017</w:t>
      </w:r>
      <w:r w:rsidRPr="007772C4">
        <w:rPr>
          <w:lang w:val="fr-FR"/>
        </w:rPr>
        <w:t>, en application de l</w:t>
      </w:r>
      <w:r w:rsidR="007772C4" w:rsidRPr="007772C4">
        <w:rPr>
          <w:lang w:val="fr-FR"/>
        </w:rPr>
        <w:t>’</w:t>
      </w:r>
      <w:r w:rsidRPr="007772C4">
        <w:rPr>
          <w:lang w:val="fr-FR"/>
        </w:rPr>
        <w:t>article 77 §§ 2 et 3 du règlement</w:t>
      </w:r>
      <w:r w:rsidR="00AC0824" w:rsidRPr="007772C4">
        <w:rPr>
          <w:lang w:val="fr-FR"/>
        </w:rPr>
        <w:t xml:space="preserve"> de la Cour</w:t>
      </w:r>
      <w:r w:rsidRPr="007772C4">
        <w:rPr>
          <w:lang w:val="fr-FR"/>
        </w:rPr>
        <w:t>.</w:t>
      </w:r>
    </w:p>
    <w:p w:rsidR="004D15F3" w:rsidRPr="007772C4" w:rsidRDefault="00314B2C" w:rsidP="007772C4">
      <w:pPr>
        <w:pStyle w:val="JuSigned"/>
        <w:keepNext/>
        <w:keepLines/>
        <w:tabs>
          <w:tab w:val="clear" w:pos="6407"/>
          <w:tab w:val="center" w:pos="6096"/>
        </w:tabs>
        <w:rPr>
          <w:lang w:val="es-ES_tradnl"/>
        </w:rPr>
      </w:pPr>
      <w:r w:rsidRPr="007772C4">
        <w:rPr>
          <w:lang w:val="fr-FR"/>
        </w:rPr>
        <w:tab/>
      </w:r>
      <w:r w:rsidRPr="007772C4">
        <w:rPr>
          <w:lang w:val="es-ES_tradnl"/>
        </w:rPr>
        <w:t>Abel Campos</w:t>
      </w:r>
      <w:r w:rsidR="00E77CB3" w:rsidRPr="007772C4">
        <w:rPr>
          <w:lang w:val="es-ES_tradnl"/>
        </w:rPr>
        <w:tab/>
      </w:r>
      <w:r w:rsidR="006E295F" w:rsidRPr="007772C4">
        <w:rPr>
          <w:szCs w:val="24"/>
          <w:lang w:val="es-ES_tradnl"/>
        </w:rPr>
        <w:t>Kristina Pardalos</w:t>
      </w:r>
      <w:r w:rsidR="00E77CB3" w:rsidRPr="007772C4">
        <w:rPr>
          <w:lang w:val="es-ES_tradnl"/>
        </w:rPr>
        <w:br/>
      </w:r>
      <w:r w:rsidR="00E77CB3" w:rsidRPr="007772C4">
        <w:rPr>
          <w:lang w:val="es-ES_tradnl"/>
        </w:rPr>
        <w:tab/>
      </w:r>
      <w:r w:rsidRPr="007772C4">
        <w:rPr>
          <w:lang w:val="es-ES_tradnl"/>
        </w:rPr>
        <w:t>Greffier</w:t>
      </w:r>
      <w:r w:rsidR="00E77CB3" w:rsidRPr="007772C4">
        <w:rPr>
          <w:lang w:val="es-ES_tradnl"/>
        </w:rPr>
        <w:tab/>
      </w:r>
      <w:r w:rsidRPr="007772C4">
        <w:rPr>
          <w:lang w:val="es-ES_tradnl"/>
        </w:rPr>
        <w:t>Président</w:t>
      </w:r>
      <w:r w:rsidR="006E295F" w:rsidRPr="007772C4">
        <w:rPr>
          <w:lang w:val="es-ES_tradnl"/>
        </w:rPr>
        <w:t>e</w:t>
      </w:r>
    </w:p>
    <w:p w:rsidR="006E295F" w:rsidRPr="007772C4" w:rsidRDefault="006E295F" w:rsidP="007772C4">
      <w:pPr>
        <w:pStyle w:val="JuParaLast"/>
        <w:rPr>
          <w:lang w:val="fr-FR"/>
        </w:rPr>
      </w:pPr>
      <w:r w:rsidRPr="007772C4">
        <w:rPr>
          <w:lang w:val="fr-FR"/>
        </w:rPr>
        <w:t>Au présent arrêt se trouve joint, conformément aux articles 45 § 2 de la Convention et 74 § 2 du règlement, l</w:t>
      </w:r>
      <w:r w:rsidR="007772C4" w:rsidRPr="007772C4">
        <w:rPr>
          <w:lang w:val="fr-FR"/>
        </w:rPr>
        <w:t>’</w:t>
      </w:r>
      <w:r w:rsidRPr="007772C4">
        <w:rPr>
          <w:lang w:val="fr-FR"/>
        </w:rPr>
        <w:t>exposé de l</w:t>
      </w:r>
      <w:r w:rsidR="007772C4" w:rsidRPr="007772C4">
        <w:rPr>
          <w:lang w:val="fr-FR"/>
        </w:rPr>
        <w:t>’</w:t>
      </w:r>
      <w:r w:rsidRPr="007772C4">
        <w:rPr>
          <w:lang w:val="fr-FR"/>
        </w:rPr>
        <w:t xml:space="preserve">opinion séparée du juge </w:t>
      </w:r>
      <w:proofErr w:type="spellStart"/>
      <w:r w:rsidRPr="007772C4">
        <w:rPr>
          <w:lang w:val="fr-FR"/>
        </w:rPr>
        <w:t>Wojtyczek</w:t>
      </w:r>
      <w:proofErr w:type="spellEnd"/>
      <w:r w:rsidRPr="007772C4">
        <w:rPr>
          <w:lang w:val="fr-FR"/>
        </w:rPr>
        <w:t>.</w:t>
      </w:r>
    </w:p>
    <w:p w:rsidR="00786B37" w:rsidRPr="007772C4" w:rsidRDefault="00786B37" w:rsidP="007772C4">
      <w:pPr>
        <w:pStyle w:val="JuInitialled"/>
        <w:rPr>
          <w:lang w:val="fr-FR"/>
        </w:rPr>
      </w:pPr>
      <w:r w:rsidRPr="007772C4">
        <w:rPr>
          <w:lang w:val="fr-FR"/>
        </w:rPr>
        <w:t>K.P</w:t>
      </w:r>
      <w:proofErr w:type="gramStart"/>
      <w:r w:rsidRPr="007772C4">
        <w:rPr>
          <w:lang w:val="fr-FR"/>
        </w:rPr>
        <w:t>.</w:t>
      </w:r>
      <w:proofErr w:type="gramEnd"/>
      <w:r w:rsidRPr="007772C4">
        <w:rPr>
          <w:lang w:val="fr-FR"/>
        </w:rPr>
        <w:br/>
        <w:t>A.C.</w:t>
      </w:r>
    </w:p>
    <w:p w:rsidR="002A67FE" w:rsidRPr="007772C4" w:rsidRDefault="002A67FE" w:rsidP="007772C4">
      <w:pPr>
        <w:pStyle w:val="JuInitialled"/>
        <w:rPr>
          <w:lang w:val="fr-FR"/>
        </w:rPr>
        <w:sectPr w:rsidR="002A67FE" w:rsidRPr="007772C4" w:rsidSect="00D21386">
          <w:headerReference w:type="even" r:id="rId33"/>
          <w:headerReference w:type="default" r:id="rId34"/>
          <w:footnotePr>
            <w:numRestart w:val="eachSect"/>
          </w:footnotePr>
          <w:pgSz w:w="11906" w:h="16838" w:code="9"/>
          <w:pgMar w:top="2274" w:right="2274" w:bottom="2274" w:left="2274" w:header="1701" w:footer="720" w:gutter="0"/>
          <w:pgNumType w:start="1"/>
          <w:cols w:space="720"/>
          <w:docGrid w:linePitch="326"/>
        </w:sectPr>
      </w:pPr>
    </w:p>
    <w:p w:rsidR="002A67FE" w:rsidRPr="007772C4" w:rsidRDefault="002A67FE" w:rsidP="007772C4">
      <w:pPr>
        <w:pStyle w:val="ECHRTitleCentre1"/>
        <w:rPr>
          <w:lang w:val="fr-FR"/>
        </w:rPr>
      </w:pPr>
      <w:r w:rsidRPr="007772C4">
        <w:rPr>
          <w:lang w:val="fr-FR"/>
        </w:rPr>
        <w:lastRenderedPageBreak/>
        <w:t>OPINION DISSIDENTE DU JUGE WOJTYCZEK</w:t>
      </w:r>
    </w:p>
    <w:p w:rsidR="00D155CF" w:rsidRPr="007772C4" w:rsidRDefault="00D155CF" w:rsidP="007772C4">
      <w:pPr>
        <w:pStyle w:val="OpiPara"/>
        <w:rPr>
          <w:lang w:val="fr-FR"/>
        </w:rPr>
      </w:pPr>
      <w:r w:rsidRPr="007772C4">
        <w:rPr>
          <w:lang w:val="fr-FR"/>
        </w:rPr>
        <w:t>1.  </w:t>
      </w:r>
      <w:r w:rsidR="002A67FE" w:rsidRPr="007772C4">
        <w:rPr>
          <w:lang w:val="fr-FR"/>
        </w:rPr>
        <w:t>Je ne suis pas convaincu par la position de la majorité dans la présente affaire.</w:t>
      </w:r>
    </w:p>
    <w:p w:rsidR="00D155CF" w:rsidRPr="007772C4" w:rsidRDefault="002A67FE" w:rsidP="007772C4">
      <w:pPr>
        <w:pStyle w:val="OpiPara"/>
        <w:rPr>
          <w:lang w:val="fr-FR"/>
        </w:rPr>
      </w:pPr>
      <w:r w:rsidRPr="007772C4">
        <w:rPr>
          <w:lang w:val="fr-FR"/>
        </w:rPr>
        <w:t>2.</w:t>
      </w:r>
      <w:r w:rsidR="00B56C55" w:rsidRPr="007772C4">
        <w:rPr>
          <w:lang w:val="fr-FR"/>
        </w:rPr>
        <w:t>  </w:t>
      </w:r>
      <w:r w:rsidRPr="007772C4">
        <w:rPr>
          <w:lang w:val="fr-FR"/>
        </w:rPr>
        <w:t>Le requérant fut renvoyé en jugement devant le tribunal de Trani le 16 juin 1998. Selon le Gouvernement, son procès commença le 27 mai 2001 avec la tenue de la première audience. Je note en passant que la majorité, en établissant les faits, omet complètement les développements qui ont eu lieu entre le 16 juin 1998 et 27 mai 2003, date de la première audience mentionnée dans la partie « circonstances de l</w:t>
      </w:r>
      <w:r w:rsidR="007772C4" w:rsidRPr="007772C4">
        <w:rPr>
          <w:lang w:val="fr-FR"/>
        </w:rPr>
        <w:t>’</w:t>
      </w:r>
      <w:r w:rsidRPr="007772C4">
        <w:rPr>
          <w:lang w:val="fr-FR"/>
        </w:rPr>
        <w:t>espèce » de l</w:t>
      </w:r>
      <w:r w:rsidR="007772C4" w:rsidRPr="007772C4">
        <w:rPr>
          <w:lang w:val="fr-FR"/>
        </w:rPr>
        <w:t>’</w:t>
      </w:r>
      <w:r w:rsidRPr="007772C4">
        <w:rPr>
          <w:lang w:val="fr-FR"/>
        </w:rPr>
        <w:t>arrêt.</w:t>
      </w:r>
    </w:p>
    <w:p w:rsidR="00D155CF" w:rsidRPr="007772C4" w:rsidRDefault="002A67FE" w:rsidP="007772C4">
      <w:pPr>
        <w:pStyle w:val="OpiPara"/>
        <w:rPr>
          <w:lang w:val="fr-FR"/>
        </w:rPr>
      </w:pPr>
      <w:r w:rsidRPr="007772C4">
        <w:rPr>
          <w:lang w:val="fr-FR"/>
        </w:rPr>
        <w:t>Quoi qu</w:t>
      </w:r>
      <w:r w:rsidR="007772C4" w:rsidRPr="007772C4">
        <w:rPr>
          <w:lang w:val="fr-FR"/>
        </w:rPr>
        <w:t>’</w:t>
      </w:r>
      <w:r w:rsidRPr="007772C4">
        <w:rPr>
          <w:lang w:val="fr-FR"/>
        </w:rPr>
        <w:t>il en soit, on peut constater, dans la présente affaire, un retard à juger le requérant, ce qui semble en contradiction avec le droit à un procès dans un délai raisonnable. Toutefois, le requérant n</w:t>
      </w:r>
      <w:r w:rsidR="007772C4" w:rsidRPr="007772C4">
        <w:rPr>
          <w:lang w:val="fr-FR"/>
        </w:rPr>
        <w:t>’</w:t>
      </w:r>
      <w:r w:rsidRPr="007772C4">
        <w:rPr>
          <w:lang w:val="fr-FR"/>
        </w:rPr>
        <w:t>a pas présenté de griefs relatifs à la durée de la procédure. La Cour n</w:t>
      </w:r>
      <w:r w:rsidR="007772C4" w:rsidRPr="007772C4">
        <w:rPr>
          <w:lang w:val="fr-FR"/>
        </w:rPr>
        <w:t>’</w:t>
      </w:r>
      <w:r w:rsidRPr="007772C4">
        <w:rPr>
          <w:lang w:val="fr-FR"/>
        </w:rPr>
        <w:t>était donc pas compétente pour examiner la question de la durée de la procédure et, à juste titre, a décidé de ne pas examiner cette question.</w:t>
      </w:r>
    </w:p>
    <w:p w:rsidR="00D155CF" w:rsidRPr="007772C4" w:rsidRDefault="00B56C55" w:rsidP="007772C4">
      <w:pPr>
        <w:pStyle w:val="OpiPara"/>
        <w:rPr>
          <w:lang w:val="fr-FR"/>
        </w:rPr>
      </w:pPr>
      <w:r w:rsidRPr="007772C4">
        <w:rPr>
          <w:lang w:val="fr-FR"/>
        </w:rPr>
        <w:t>3.  </w:t>
      </w:r>
      <w:r w:rsidR="002A67FE" w:rsidRPr="007772C4">
        <w:rPr>
          <w:lang w:val="fr-FR"/>
        </w:rPr>
        <w:t>Le requérant se plaint du manque d</w:t>
      </w:r>
      <w:r w:rsidR="007772C4" w:rsidRPr="007772C4">
        <w:rPr>
          <w:lang w:val="fr-FR"/>
        </w:rPr>
        <w:t>’</w:t>
      </w:r>
      <w:r w:rsidR="002A67FE" w:rsidRPr="007772C4">
        <w:rPr>
          <w:lang w:val="fr-FR"/>
        </w:rPr>
        <w:t>équité de la procédure menée contre lui car le témoin clef de l</w:t>
      </w:r>
      <w:r w:rsidR="007772C4" w:rsidRPr="007772C4">
        <w:rPr>
          <w:lang w:val="fr-FR"/>
        </w:rPr>
        <w:t>’</w:t>
      </w:r>
      <w:r w:rsidR="002A67FE" w:rsidRPr="007772C4">
        <w:rPr>
          <w:lang w:val="fr-FR"/>
        </w:rPr>
        <w:t>affaire n</w:t>
      </w:r>
      <w:r w:rsidR="007772C4" w:rsidRPr="007772C4">
        <w:rPr>
          <w:lang w:val="fr-FR"/>
        </w:rPr>
        <w:t>’</w:t>
      </w:r>
      <w:r w:rsidR="002A67FE" w:rsidRPr="007772C4">
        <w:rPr>
          <w:lang w:val="fr-FR"/>
        </w:rPr>
        <w:t>a pas été entendu pendant les débats. La majorité constate, à juste titre, que « C.C., plaignant et unique témoin, a été entendu par les carabiniers, mais qu</w:t>
      </w:r>
      <w:r w:rsidR="007772C4" w:rsidRPr="007772C4">
        <w:rPr>
          <w:lang w:val="fr-FR"/>
        </w:rPr>
        <w:t>’</w:t>
      </w:r>
      <w:r w:rsidR="002A67FE" w:rsidRPr="007772C4">
        <w:rPr>
          <w:lang w:val="fr-FR"/>
        </w:rPr>
        <w:t>il n</w:t>
      </w:r>
      <w:r w:rsidR="007772C4" w:rsidRPr="007772C4">
        <w:rPr>
          <w:lang w:val="fr-FR"/>
        </w:rPr>
        <w:t>’</w:t>
      </w:r>
      <w:r w:rsidR="002A67FE" w:rsidRPr="007772C4">
        <w:rPr>
          <w:lang w:val="fr-FR"/>
        </w:rPr>
        <w:t xml:space="preserve">a jamais comparu devant les juridictions </w:t>
      </w:r>
      <w:r w:rsidR="002A67FE" w:rsidRPr="007772C4">
        <w:rPr>
          <w:b/>
          <w:lang w:val="fr-FR"/>
        </w:rPr>
        <w:t>du fond</w:t>
      </w:r>
      <w:r w:rsidR="002A67FE" w:rsidRPr="007772C4">
        <w:rPr>
          <w:lang w:val="fr-FR"/>
        </w:rPr>
        <w:t> » (paragraphe 52, gras ajouté).</w:t>
      </w:r>
    </w:p>
    <w:p w:rsidR="00D155CF" w:rsidRPr="007772C4" w:rsidRDefault="002A67FE" w:rsidP="007772C4">
      <w:pPr>
        <w:pStyle w:val="OpiPara"/>
        <w:rPr>
          <w:lang w:val="fr-FR"/>
        </w:rPr>
      </w:pPr>
      <w:r w:rsidRPr="007772C4">
        <w:rPr>
          <w:lang w:val="fr-FR"/>
        </w:rPr>
        <w:t>Le manque allégué d</w:t>
      </w:r>
      <w:r w:rsidR="007772C4" w:rsidRPr="007772C4">
        <w:rPr>
          <w:lang w:val="fr-FR"/>
        </w:rPr>
        <w:t>’</w:t>
      </w:r>
      <w:r w:rsidRPr="007772C4">
        <w:rPr>
          <w:lang w:val="fr-FR"/>
        </w:rPr>
        <w:t>équité du procès du fait de l</w:t>
      </w:r>
      <w:r w:rsidR="007772C4" w:rsidRPr="007772C4">
        <w:rPr>
          <w:lang w:val="fr-FR"/>
        </w:rPr>
        <w:t>’</w:t>
      </w:r>
      <w:r w:rsidRPr="007772C4">
        <w:rPr>
          <w:lang w:val="fr-FR"/>
        </w:rPr>
        <w:t>absence d</w:t>
      </w:r>
      <w:r w:rsidR="007772C4" w:rsidRPr="007772C4">
        <w:rPr>
          <w:lang w:val="fr-FR"/>
        </w:rPr>
        <w:t>’</w:t>
      </w:r>
      <w:r w:rsidRPr="007772C4">
        <w:rPr>
          <w:lang w:val="fr-FR"/>
        </w:rPr>
        <w:t>audition du témoin devant le juge de fond doit être apprécié avant tout à la lumière des évènements qui ont eu lieu après son commencement. Or, dans la motivation de l</w:t>
      </w:r>
      <w:r w:rsidR="007772C4" w:rsidRPr="007772C4">
        <w:rPr>
          <w:lang w:val="fr-FR"/>
        </w:rPr>
        <w:t>’</w:t>
      </w:r>
      <w:r w:rsidRPr="007772C4">
        <w:rPr>
          <w:lang w:val="fr-FR"/>
        </w:rPr>
        <w:t>arrêt, la majorité se penche au paragraphe 45 sur la phase d</w:t>
      </w:r>
      <w:r w:rsidR="007772C4" w:rsidRPr="007772C4">
        <w:rPr>
          <w:lang w:val="fr-FR"/>
        </w:rPr>
        <w:t>’</w:t>
      </w:r>
      <w:r w:rsidRPr="007772C4">
        <w:rPr>
          <w:lang w:val="fr-FR"/>
        </w:rPr>
        <w:t>instruction, qui a duré jusqu</w:t>
      </w:r>
      <w:r w:rsidR="007772C4" w:rsidRPr="007772C4">
        <w:rPr>
          <w:lang w:val="fr-FR"/>
        </w:rPr>
        <w:t>’</w:t>
      </w:r>
      <w:r w:rsidRPr="007772C4">
        <w:rPr>
          <w:lang w:val="fr-FR"/>
        </w:rPr>
        <w:t>au 16 juin 1998. Le juge des investigations préliminaires n</w:t>
      </w:r>
      <w:r w:rsidR="007772C4" w:rsidRPr="007772C4">
        <w:rPr>
          <w:lang w:val="fr-FR"/>
        </w:rPr>
        <w:t>’</w:t>
      </w:r>
      <w:r w:rsidRPr="007772C4">
        <w:rPr>
          <w:lang w:val="fr-FR"/>
        </w:rPr>
        <w:t>est pas le juge de fond. La motivation de l</w:t>
      </w:r>
      <w:r w:rsidR="007772C4" w:rsidRPr="007772C4">
        <w:rPr>
          <w:lang w:val="fr-FR"/>
        </w:rPr>
        <w:t>’</w:t>
      </w:r>
      <w:r w:rsidRPr="007772C4">
        <w:rPr>
          <w:lang w:val="fr-FR"/>
        </w:rPr>
        <w:t>arrêt n</w:t>
      </w:r>
      <w:r w:rsidR="007772C4" w:rsidRPr="007772C4">
        <w:rPr>
          <w:lang w:val="fr-FR"/>
        </w:rPr>
        <w:t>’</w:t>
      </w:r>
      <w:r w:rsidRPr="007772C4">
        <w:rPr>
          <w:lang w:val="fr-FR"/>
        </w:rPr>
        <w:t>explique pas pourquoi les stades antérieurs au procès seraient pertinents pour apprécier le grief du requérant alors que le paragraphe 52 met l</w:t>
      </w:r>
      <w:r w:rsidR="007772C4" w:rsidRPr="007772C4">
        <w:rPr>
          <w:lang w:val="fr-FR"/>
        </w:rPr>
        <w:t>’</w:t>
      </w:r>
      <w:r w:rsidRPr="007772C4">
        <w:rPr>
          <w:lang w:val="fr-FR"/>
        </w:rPr>
        <w:t>accent sur la comparution du témoin devant le juge de fond. Peut-être la motivation se fonde-t-elle implicitement sur l</w:t>
      </w:r>
      <w:r w:rsidR="007772C4" w:rsidRPr="007772C4">
        <w:rPr>
          <w:lang w:val="fr-FR"/>
        </w:rPr>
        <w:t>’</w:t>
      </w:r>
      <w:r w:rsidRPr="007772C4">
        <w:rPr>
          <w:lang w:val="fr-FR"/>
        </w:rPr>
        <w:t>idée que l</w:t>
      </w:r>
      <w:r w:rsidR="007772C4" w:rsidRPr="007772C4">
        <w:rPr>
          <w:lang w:val="fr-FR"/>
        </w:rPr>
        <w:t>’</w:t>
      </w:r>
      <w:r w:rsidRPr="007772C4">
        <w:rPr>
          <w:lang w:val="fr-FR"/>
        </w:rPr>
        <w:t>audition du témoin avant le procès devant un juge, en présence de l</w:t>
      </w:r>
      <w:r w:rsidR="007772C4" w:rsidRPr="007772C4">
        <w:rPr>
          <w:lang w:val="fr-FR"/>
        </w:rPr>
        <w:t>’</w:t>
      </w:r>
      <w:r w:rsidRPr="007772C4">
        <w:rPr>
          <w:lang w:val="fr-FR"/>
        </w:rPr>
        <w:t>accusé, aurait remédié au problème de l</w:t>
      </w:r>
      <w:r w:rsidR="007772C4" w:rsidRPr="007772C4">
        <w:rPr>
          <w:lang w:val="fr-FR"/>
        </w:rPr>
        <w:t>’</w:t>
      </w:r>
      <w:r w:rsidRPr="007772C4">
        <w:rPr>
          <w:lang w:val="fr-FR"/>
        </w:rPr>
        <w:t>absence d</w:t>
      </w:r>
      <w:r w:rsidR="007772C4" w:rsidRPr="007772C4">
        <w:rPr>
          <w:lang w:val="fr-FR"/>
        </w:rPr>
        <w:t>’</w:t>
      </w:r>
      <w:r w:rsidRPr="007772C4">
        <w:rPr>
          <w:lang w:val="fr-FR"/>
        </w:rPr>
        <w:t>audition du témoin pendant le procès devant le juge de fond. Si c</w:t>
      </w:r>
      <w:r w:rsidR="007772C4" w:rsidRPr="007772C4">
        <w:rPr>
          <w:lang w:val="fr-FR"/>
        </w:rPr>
        <w:t>’</w:t>
      </w:r>
      <w:r w:rsidRPr="007772C4">
        <w:rPr>
          <w:lang w:val="fr-FR"/>
        </w:rPr>
        <w:t>est le cas, cette considération aurait dû être expliquée dans le contexte d</w:t>
      </w:r>
      <w:r w:rsidR="007772C4" w:rsidRPr="007772C4">
        <w:rPr>
          <w:lang w:val="fr-FR"/>
        </w:rPr>
        <w:t>’</w:t>
      </w:r>
      <w:r w:rsidRPr="007772C4">
        <w:rPr>
          <w:lang w:val="fr-FR"/>
        </w:rPr>
        <w:t>une analyse détaillée de la procédure pénale italienne et en particulier d</w:t>
      </w:r>
      <w:r w:rsidR="007772C4" w:rsidRPr="007772C4">
        <w:rPr>
          <w:lang w:val="fr-FR"/>
        </w:rPr>
        <w:t>’</w:t>
      </w:r>
      <w:r w:rsidRPr="007772C4">
        <w:rPr>
          <w:lang w:val="fr-FR"/>
        </w:rPr>
        <w:t>une analyse de la logique et de l</w:t>
      </w:r>
      <w:r w:rsidR="007772C4" w:rsidRPr="007772C4">
        <w:rPr>
          <w:lang w:val="fr-FR"/>
        </w:rPr>
        <w:t>’</w:t>
      </w:r>
      <w:r w:rsidRPr="007772C4">
        <w:rPr>
          <w:lang w:val="fr-FR"/>
        </w:rPr>
        <w:t>enchaînement de ses différents stades.</w:t>
      </w:r>
    </w:p>
    <w:p w:rsidR="00D155CF" w:rsidRPr="007772C4" w:rsidRDefault="00B56C55" w:rsidP="007772C4">
      <w:pPr>
        <w:pStyle w:val="OpiPara"/>
        <w:rPr>
          <w:lang w:val="fr-FR"/>
        </w:rPr>
      </w:pPr>
      <w:r w:rsidRPr="007772C4">
        <w:rPr>
          <w:lang w:val="fr-FR"/>
        </w:rPr>
        <w:t>4.  </w:t>
      </w:r>
      <w:r w:rsidR="002A67FE" w:rsidRPr="007772C4">
        <w:rPr>
          <w:lang w:val="fr-FR"/>
        </w:rPr>
        <w:t>À l</w:t>
      </w:r>
      <w:r w:rsidR="007772C4" w:rsidRPr="007772C4">
        <w:rPr>
          <w:lang w:val="fr-FR"/>
        </w:rPr>
        <w:t>’</w:t>
      </w:r>
      <w:r w:rsidR="002A67FE" w:rsidRPr="007772C4">
        <w:rPr>
          <w:lang w:val="fr-FR"/>
        </w:rPr>
        <w:t>audience du 6 décembre 2004, le procureur informa le tribunal que le témoin C.C. avait quitté le domicile familial depuis l</w:t>
      </w:r>
      <w:r w:rsidR="007772C4" w:rsidRPr="007772C4">
        <w:rPr>
          <w:lang w:val="fr-FR"/>
        </w:rPr>
        <w:t>’</w:t>
      </w:r>
      <w:r w:rsidR="002A67FE" w:rsidRPr="007772C4">
        <w:rPr>
          <w:lang w:val="fr-FR"/>
        </w:rPr>
        <w:t>année 2000 et qu</w:t>
      </w:r>
      <w:r w:rsidR="007772C4" w:rsidRPr="007772C4">
        <w:rPr>
          <w:lang w:val="fr-FR"/>
        </w:rPr>
        <w:t>’</w:t>
      </w:r>
      <w:r w:rsidR="002A67FE" w:rsidRPr="007772C4">
        <w:rPr>
          <w:lang w:val="fr-FR"/>
        </w:rPr>
        <w:t>il était depuis lors introuvable. Il indiqua également qu</w:t>
      </w:r>
      <w:r w:rsidR="007772C4" w:rsidRPr="007772C4">
        <w:rPr>
          <w:lang w:val="fr-FR"/>
        </w:rPr>
        <w:t>’</w:t>
      </w:r>
      <w:r w:rsidR="002A67FE" w:rsidRPr="007772C4">
        <w:rPr>
          <w:lang w:val="fr-FR"/>
        </w:rPr>
        <w:t>un mandat d</w:t>
      </w:r>
      <w:r w:rsidR="007772C4" w:rsidRPr="007772C4">
        <w:rPr>
          <w:lang w:val="fr-FR"/>
        </w:rPr>
        <w:t>’</w:t>
      </w:r>
      <w:r w:rsidR="002A67FE" w:rsidRPr="007772C4">
        <w:rPr>
          <w:lang w:val="fr-FR"/>
        </w:rPr>
        <w:t>arrêt avait été décerné à l</w:t>
      </w:r>
      <w:r w:rsidR="007772C4" w:rsidRPr="007772C4">
        <w:rPr>
          <w:lang w:val="fr-FR"/>
        </w:rPr>
        <w:t>’</w:t>
      </w:r>
      <w:r w:rsidR="002A67FE" w:rsidRPr="007772C4">
        <w:rPr>
          <w:lang w:val="fr-FR"/>
        </w:rPr>
        <w:t>encontre de C.C. à la suite de sa condamnation par contumace dans le cadre d</w:t>
      </w:r>
      <w:r w:rsidR="007772C4" w:rsidRPr="007772C4">
        <w:rPr>
          <w:lang w:val="fr-FR"/>
        </w:rPr>
        <w:t>’</w:t>
      </w:r>
      <w:r w:rsidR="002A67FE" w:rsidRPr="007772C4">
        <w:rPr>
          <w:lang w:val="fr-FR"/>
        </w:rPr>
        <w:t>une autre procédure pénale. Ces allégations n</w:t>
      </w:r>
      <w:r w:rsidR="007772C4" w:rsidRPr="007772C4">
        <w:rPr>
          <w:lang w:val="fr-FR"/>
        </w:rPr>
        <w:t>’</w:t>
      </w:r>
      <w:r w:rsidR="002A67FE" w:rsidRPr="007772C4">
        <w:rPr>
          <w:lang w:val="fr-FR"/>
        </w:rPr>
        <w:t>ont pas été contestées par le requérant. Il n</w:t>
      </w:r>
      <w:r w:rsidR="007772C4" w:rsidRPr="007772C4">
        <w:rPr>
          <w:lang w:val="fr-FR"/>
        </w:rPr>
        <w:t>’</w:t>
      </w:r>
      <w:r w:rsidR="002A67FE" w:rsidRPr="007772C4">
        <w:rPr>
          <w:lang w:val="fr-FR"/>
        </w:rPr>
        <w:t xml:space="preserve">est donc pas exact de dire que « [a]u final, lors du procès en 2003, soit plus de six ans après les faits, les </w:t>
      </w:r>
      <w:r w:rsidR="002A67FE" w:rsidRPr="007772C4">
        <w:rPr>
          <w:lang w:val="fr-FR"/>
        </w:rPr>
        <w:lastRenderedPageBreak/>
        <w:t xml:space="preserve">seules recherches effectuées par la police avaient été celles faites au domicile des parents de C.C. » (paragraphe 45 </w:t>
      </w:r>
      <w:r w:rsidR="002A67FE" w:rsidRPr="007772C4">
        <w:rPr>
          <w:i/>
          <w:lang w:val="fr-FR"/>
        </w:rPr>
        <w:t>in fine</w:t>
      </w:r>
      <w:r w:rsidR="002A67FE" w:rsidRPr="007772C4">
        <w:rPr>
          <w:lang w:val="fr-FR"/>
        </w:rPr>
        <w:t>).</w:t>
      </w:r>
    </w:p>
    <w:p w:rsidR="00D155CF" w:rsidRPr="007772C4" w:rsidRDefault="002A67FE" w:rsidP="007772C4">
      <w:pPr>
        <w:pStyle w:val="OpiPara"/>
        <w:rPr>
          <w:lang w:val="fr-FR"/>
        </w:rPr>
      </w:pPr>
      <w:r w:rsidRPr="007772C4">
        <w:rPr>
          <w:lang w:val="fr-FR"/>
        </w:rPr>
        <w:t>Si, pendant plusieurs années, les autorités italiennes ont tenté sans succès de localiser et d</w:t>
      </w:r>
      <w:r w:rsidR="007772C4" w:rsidRPr="007772C4">
        <w:rPr>
          <w:lang w:val="fr-FR"/>
        </w:rPr>
        <w:t>’</w:t>
      </w:r>
      <w:r w:rsidRPr="007772C4">
        <w:rPr>
          <w:lang w:val="fr-FR"/>
        </w:rPr>
        <w:t>arrêter C.C. pour l</w:t>
      </w:r>
      <w:r w:rsidR="007772C4" w:rsidRPr="007772C4">
        <w:rPr>
          <w:lang w:val="fr-FR"/>
        </w:rPr>
        <w:t>’</w:t>
      </w:r>
      <w:r w:rsidRPr="007772C4">
        <w:rPr>
          <w:lang w:val="fr-FR"/>
        </w:rPr>
        <w:t>incarcérer à la suite d</w:t>
      </w:r>
      <w:r w:rsidR="007772C4" w:rsidRPr="007772C4">
        <w:rPr>
          <w:lang w:val="fr-FR"/>
        </w:rPr>
        <w:t>’</w:t>
      </w:r>
      <w:r w:rsidRPr="007772C4">
        <w:rPr>
          <w:lang w:val="fr-FR"/>
        </w:rPr>
        <w:t>une condamnation pénale dans une autre affaire, il est difficile de leur reprocher de n</w:t>
      </w:r>
      <w:r w:rsidR="007772C4" w:rsidRPr="007772C4">
        <w:rPr>
          <w:lang w:val="fr-FR"/>
        </w:rPr>
        <w:t>’</w:t>
      </w:r>
      <w:r w:rsidRPr="007772C4">
        <w:rPr>
          <w:lang w:val="fr-FR"/>
        </w:rPr>
        <w:t>avoir pas pu assurer sa comparution comme témoin. Il est difficile d</w:t>
      </w:r>
      <w:r w:rsidR="007772C4" w:rsidRPr="007772C4">
        <w:rPr>
          <w:lang w:val="fr-FR"/>
        </w:rPr>
        <w:t>’</w:t>
      </w:r>
      <w:r w:rsidRPr="007772C4">
        <w:rPr>
          <w:lang w:val="fr-FR"/>
        </w:rPr>
        <w:t>attendre raisonnablement encore plus de diligence de la part de la juridiction devant laquelle la personne recherchée doit témoigner.</w:t>
      </w:r>
    </w:p>
    <w:p w:rsidR="00D155CF" w:rsidRPr="007772C4" w:rsidRDefault="002A67FE" w:rsidP="007772C4">
      <w:pPr>
        <w:pStyle w:val="OpiPara"/>
        <w:rPr>
          <w:lang w:val="fr-FR"/>
        </w:rPr>
      </w:pPr>
      <w:r w:rsidRPr="007772C4">
        <w:rPr>
          <w:lang w:val="fr-FR"/>
        </w:rPr>
        <w:t>Dans la présente affaire, il y avait un obstacle objectif à l</w:t>
      </w:r>
      <w:r w:rsidR="007772C4" w:rsidRPr="007772C4">
        <w:rPr>
          <w:lang w:val="fr-FR"/>
        </w:rPr>
        <w:t>’</w:t>
      </w:r>
      <w:r w:rsidRPr="007772C4">
        <w:rPr>
          <w:lang w:val="fr-FR"/>
        </w:rPr>
        <w:t>audition du témoin. Le juge avait l</w:t>
      </w:r>
      <w:r w:rsidR="007772C4" w:rsidRPr="007772C4">
        <w:rPr>
          <w:lang w:val="fr-FR"/>
        </w:rPr>
        <w:t>’</w:t>
      </w:r>
      <w:r w:rsidRPr="007772C4">
        <w:rPr>
          <w:lang w:val="fr-FR"/>
        </w:rPr>
        <w:t xml:space="preserve">obligation de statuer sur le fondement des preuves disponibles, et notamment du témoignage de C.C., recueilli avant le procès, </w:t>
      </w:r>
      <w:proofErr w:type="gramStart"/>
      <w:r w:rsidRPr="007772C4">
        <w:rPr>
          <w:lang w:val="fr-FR"/>
        </w:rPr>
        <w:t>appréciées</w:t>
      </w:r>
      <w:proofErr w:type="gramEnd"/>
      <w:r w:rsidRPr="007772C4">
        <w:rPr>
          <w:lang w:val="fr-FR"/>
        </w:rPr>
        <w:t xml:space="preserve"> à la lumière du principe de la libre appréciation des preuves. Les juridictions italiennes des différents niveaux ont soigneusement examiné cette question. Je ne vois pas de raison suffisante de me démarquer de leurs conclusions.</w:t>
      </w:r>
    </w:p>
    <w:p w:rsidR="002A67FE" w:rsidRPr="007772C4" w:rsidRDefault="002A67FE" w:rsidP="007772C4">
      <w:pPr>
        <w:pStyle w:val="OpiPara"/>
        <w:rPr>
          <w:lang w:val="fr-FR"/>
        </w:rPr>
      </w:pPr>
      <w:r w:rsidRPr="007772C4">
        <w:rPr>
          <w:lang w:val="fr-FR"/>
        </w:rPr>
        <w:t>5.</w:t>
      </w:r>
      <w:r w:rsidR="00B56C55" w:rsidRPr="007772C4">
        <w:rPr>
          <w:lang w:val="fr-FR"/>
        </w:rPr>
        <w:t>  </w:t>
      </w:r>
      <w:r w:rsidRPr="007772C4">
        <w:rPr>
          <w:lang w:val="fr-FR"/>
        </w:rPr>
        <w:t>Au paragraphe 50, la Cour « rappelle à nouveau que, dans chaque affaire où le problème de l</w:t>
      </w:r>
      <w:r w:rsidR="007772C4" w:rsidRPr="007772C4">
        <w:rPr>
          <w:lang w:val="fr-FR"/>
        </w:rPr>
        <w:t>’</w:t>
      </w:r>
      <w:r w:rsidRPr="007772C4">
        <w:rPr>
          <w:lang w:val="fr-FR"/>
        </w:rPr>
        <w:t>équité de la procédure se pose en rapport avec la déposition d</w:t>
      </w:r>
      <w:r w:rsidR="007772C4" w:rsidRPr="007772C4">
        <w:rPr>
          <w:lang w:val="fr-FR"/>
        </w:rPr>
        <w:t>’</w:t>
      </w:r>
      <w:r w:rsidRPr="007772C4">
        <w:rPr>
          <w:lang w:val="fr-FR"/>
        </w:rPr>
        <w:t>un témoin absent, il s</w:t>
      </w:r>
      <w:r w:rsidR="007772C4" w:rsidRPr="007772C4">
        <w:rPr>
          <w:lang w:val="fr-FR"/>
        </w:rPr>
        <w:t>’</w:t>
      </w:r>
      <w:r w:rsidRPr="007772C4">
        <w:rPr>
          <w:lang w:val="fr-FR"/>
        </w:rPr>
        <w:t>agit de savoir s</w:t>
      </w:r>
      <w:r w:rsidR="007772C4" w:rsidRPr="007772C4">
        <w:rPr>
          <w:lang w:val="fr-FR"/>
        </w:rPr>
        <w:t>’</w:t>
      </w:r>
      <w:r w:rsidRPr="007772C4">
        <w:rPr>
          <w:lang w:val="fr-FR"/>
        </w:rPr>
        <w:t>il existe des éléments suffisamment compensateurs des inconvénients que son admission fait subir à la défense, notamment des garanties procédurales solides permettant une appréciation correcte et équitable de la fiabilité d</w:t>
      </w:r>
      <w:r w:rsidR="007772C4" w:rsidRPr="007772C4">
        <w:rPr>
          <w:lang w:val="fr-FR"/>
        </w:rPr>
        <w:t>’</w:t>
      </w:r>
      <w:r w:rsidRPr="007772C4">
        <w:rPr>
          <w:lang w:val="fr-FR"/>
        </w:rPr>
        <w:t>une telle preuve ».</w:t>
      </w:r>
    </w:p>
    <w:p w:rsidR="00D155CF" w:rsidRPr="007772C4" w:rsidRDefault="002A67FE" w:rsidP="007772C4">
      <w:pPr>
        <w:pStyle w:val="OpiPara"/>
        <w:rPr>
          <w:lang w:val="fr-FR"/>
        </w:rPr>
      </w:pPr>
      <w:r w:rsidRPr="007772C4">
        <w:rPr>
          <w:lang w:val="fr-FR"/>
        </w:rPr>
        <w:t>En l</w:t>
      </w:r>
      <w:r w:rsidR="007772C4" w:rsidRPr="007772C4">
        <w:rPr>
          <w:lang w:val="fr-FR"/>
        </w:rPr>
        <w:t>’</w:t>
      </w:r>
      <w:r w:rsidRPr="007772C4">
        <w:rPr>
          <w:lang w:val="fr-FR"/>
        </w:rPr>
        <w:t>espèce le gouvernement italien, dans ses observations écrites, a présenté un certain nombre d</w:t>
      </w:r>
      <w:r w:rsidR="007772C4" w:rsidRPr="007772C4">
        <w:rPr>
          <w:lang w:val="fr-FR"/>
        </w:rPr>
        <w:t>’</w:t>
      </w:r>
      <w:r w:rsidRPr="007772C4">
        <w:rPr>
          <w:lang w:val="fr-FR"/>
        </w:rPr>
        <w:t>éléments qui, selon lui, compensaient les inconvénients subis par la défense. La Cour était tenue d</w:t>
      </w:r>
      <w:r w:rsidR="007772C4" w:rsidRPr="007772C4">
        <w:rPr>
          <w:lang w:val="fr-FR"/>
        </w:rPr>
        <w:t>’</w:t>
      </w:r>
      <w:r w:rsidRPr="007772C4">
        <w:rPr>
          <w:lang w:val="fr-FR"/>
        </w:rPr>
        <w:t>appliquer le test énoncé au paragraphe 50, en appréciant si les éléments mis en exergue par le Gouvernement étaient pertinents et suffisants. Or la majorité a décidé de ne pas répondre aux arguments du Gouvernement. Elle se limite à affirmer au paragraphe 55 que « aussi rigoureux soit-il, l</w:t>
      </w:r>
      <w:r w:rsidR="007772C4" w:rsidRPr="007772C4">
        <w:rPr>
          <w:lang w:val="fr-FR"/>
        </w:rPr>
        <w:t>’</w:t>
      </w:r>
      <w:r w:rsidRPr="007772C4">
        <w:rPr>
          <w:lang w:val="fr-FR"/>
        </w:rPr>
        <w:t>examen fait par le juge du fond constitue un instrument de contrôle imparfait dans la mesure où il ne permet pas de disposer des éléments pouvant ressortir d</w:t>
      </w:r>
      <w:r w:rsidR="007772C4" w:rsidRPr="007772C4">
        <w:rPr>
          <w:lang w:val="fr-FR"/>
        </w:rPr>
        <w:t>’</w:t>
      </w:r>
      <w:r w:rsidRPr="007772C4">
        <w:rPr>
          <w:lang w:val="fr-FR"/>
        </w:rPr>
        <w:t>une confrontation en audience publique entre l</w:t>
      </w:r>
      <w:r w:rsidR="007772C4" w:rsidRPr="007772C4">
        <w:rPr>
          <w:lang w:val="fr-FR"/>
        </w:rPr>
        <w:t>’</w:t>
      </w:r>
      <w:r w:rsidRPr="007772C4">
        <w:rPr>
          <w:lang w:val="fr-FR"/>
        </w:rPr>
        <w:t>accusé et son accusateur ». Le test énoncé n</w:t>
      </w:r>
      <w:r w:rsidR="007772C4" w:rsidRPr="007772C4">
        <w:rPr>
          <w:lang w:val="fr-FR"/>
        </w:rPr>
        <w:t>’</w:t>
      </w:r>
      <w:r w:rsidRPr="007772C4">
        <w:rPr>
          <w:lang w:val="fr-FR"/>
        </w:rPr>
        <w:t>a pas été appliqué par la Cour.</w:t>
      </w:r>
    </w:p>
    <w:p w:rsidR="002A67FE" w:rsidRPr="007772C4" w:rsidRDefault="002A67FE" w:rsidP="007772C4">
      <w:pPr>
        <w:pStyle w:val="OpiPara"/>
        <w:rPr>
          <w:lang w:val="fr-FR"/>
        </w:rPr>
      </w:pPr>
      <w:r w:rsidRPr="007772C4">
        <w:rPr>
          <w:lang w:val="fr-FR"/>
        </w:rPr>
        <w:t>Il est évident qu</w:t>
      </w:r>
      <w:r w:rsidR="007772C4" w:rsidRPr="007772C4">
        <w:rPr>
          <w:lang w:val="fr-FR"/>
        </w:rPr>
        <w:t>’</w:t>
      </w:r>
      <w:r w:rsidRPr="007772C4">
        <w:rPr>
          <w:lang w:val="fr-FR"/>
        </w:rPr>
        <w:t>en l</w:t>
      </w:r>
      <w:r w:rsidR="007772C4" w:rsidRPr="007772C4">
        <w:rPr>
          <w:lang w:val="fr-FR"/>
        </w:rPr>
        <w:t>’</w:t>
      </w:r>
      <w:r w:rsidRPr="007772C4">
        <w:rPr>
          <w:lang w:val="fr-FR"/>
        </w:rPr>
        <w:t>absence d</w:t>
      </w:r>
      <w:r w:rsidR="007772C4" w:rsidRPr="007772C4">
        <w:rPr>
          <w:lang w:val="fr-FR"/>
        </w:rPr>
        <w:t>’</w:t>
      </w:r>
      <w:r w:rsidRPr="007772C4">
        <w:rPr>
          <w:lang w:val="fr-FR"/>
        </w:rPr>
        <w:t>audition d</w:t>
      </w:r>
      <w:r w:rsidR="007772C4" w:rsidRPr="007772C4">
        <w:rPr>
          <w:lang w:val="fr-FR"/>
        </w:rPr>
        <w:t>’</w:t>
      </w:r>
      <w:r w:rsidRPr="007772C4">
        <w:rPr>
          <w:lang w:val="fr-FR"/>
        </w:rPr>
        <w:t>un témoin en audience publique on ne peut pas disposer d</w:t>
      </w:r>
      <w:r w:rsidR="007772C4" w:rsidRPr="007772C4">
        <w:rPr>
          <w:lang w:val="fr-FR"/>
        </w:rPr>
        <w:t>’</w:t>
      </w:r>
      <w:r w:rsidRPr="007772C4">
        <w:rPr>
          <w:lang w:val="fr-FR"/>
        </w:rPr>
        <w:t>éléments pouvant ressortir d</w:t>
      </w:r>
      <w:r w:rsidR="007772C4" w:rsidRPr="007772C4">
        <w:rPr>
          <w:lang w:val="fr-FR"/>
        </w:rPr>
        <w:t>’</w:t>
      </w:r>
      <w:r w:rsidRPr="007772C4">
        <w:rPr>
          <w:lang w:val="fr-FR"/>
        </w:rPr>
        <w:t>une confrontation entre l</w:t>
      </w:r>
      <w:r w:rsidR="007772C4" w:rsidRPr="007772C4">
        <w:rPr>
          <w:lang w:val="fr-FR"/>
        </w:rPr>
        <w:t>’</w:t>
      </w:r>
      <w:r w:rsidRPr="007772C4">
        <w:rPr>
          <w:lang w:val="fr-FR"/>
        </w:rPr>
        <w:t>accusé et son accusateur. Toutefois, selon la méthodologie annoncée au paragraphe 50, la question à trancher était celle de savoir s</w:t>
      </w:r>
      <w:r w:rsidR="007772C4" w:rsidRPr="007772C4">
        <w:rPr>
          <w:lang w:val="fr-FR"/>
        </w:rPr>
        <w:t>’</w:t>
      </w:r>
      <w:r w:rsidRPr="007772C4">
        <w:rPr>
          <w:lang w:val="fr-FR"/>
        </w:rPr>
        <w:t>il existait des éléments qui avaient suffisamment compensé les inconvénients que son admission avait fait subir à la défense.</w:t>
      </w:r>
    </w:p>
    <w:p w:rsidR="00D155CF" w:rsidRPr="007772C4" w:rsidRDefault="00B56C55" w:rsidP="007772C4">
      <w:pPr>
        <w:pStyle w:val="OpiPara"/>
        <w:rPr>
          <w:lang w:val="fr-FR"/>
        </w:rPr>
      </w:pPr>
      <w:r w:rsidRPr="007772C4">
        <w:rPr>
          <w:lang w:val="fr-FR"/>
        </w:rPr>
        <w:t>6.  </w:t>
      </w:r>
      <w:r w:rsidR="002A67FE" w:rsidRPr="007772C4">
        <w:rPr>
          <w:lang w:val="fr-FR"/>
        </w:rPr>
        <w:t>La présente affaire permet de tirer un enseignement plus général. L</w:t>
      </w:r>
      <w:r w:rsidR="007772C4" w:rsidRPr="007772C4">
        <w:rPr>
          <w:lang w:val="fr-FR"/>
        </w:rPr>
        <w:t>’</w:t>
      </w:r>
      <w:r w:rsidR="002A67FE" w:rsidRPr="007772C4">
        <w:rPr>
          <w:lang w:val="fr-FR"/>
        </w:rPr>
        <w:t>équité du procès pénal ne peut s</w:t>
      </w:r>
      <w:r w:rsidR="007772C4" w:rsidRPr="007772C4">
        <w:rPr>
          <w:lang w:val="fr-FR"/>
        </w:rPr>
        <w:t>’</w:t>
      </w:r>
      <w:r w:rsidR="002A67FE" w:rsidRPr="007772C4">
        <w:rPr>
          <w:lang w:val="fr-FR"/>
        </w:rPr>
        <w:t>apprécier que dans le contexte de l</w:t>
      </w:r>
      <w:r w:rsidR="007772C4" w:rsidRPr="007772C4">
        <w:rPr>
          <w:lang w:val="fr-FR"/>
        </w:rPr>
        <w:t>’</w:t>
      </w:r>
      <w:r w:rsidR="002A67FE" w:rsidRPr="007772C4">
        <w:rPr>
          <w:lang w:val="fr-FR"/>
        </w:rPr>
        <w:t>ensemble des règles qui régissent la procédure pénale, et en particulier des principes fondamentaux qui définissent le modèle de procédure pénale choisi. La majorité se réfère aux principes établis dans l</w:t>
      </w:r>
      <w:r w:rsidR="007772C4" w:rsidRPr="007772C4">
        <w:rPr>
          <w:lang w:val="fr-FR"/>
        </w:rPr>
        <w:t>’</w:t>
      </w:r>
      <w:r w:rsidR="002A67FE" w:rsidRPr="007772C4">
        <w:rPr>
          <w:lang w:val="fr-FR"/>
        </w:rPr>
        <w:t xml:space="preserve">arrêt </w:t>
      </w:r>
      <w:r w:rsidR="007772C4" w:rsidRPr="007772C4">
        <w:rPr>
          <w:i/>
          <w:lang w:val="fr-FR"/>
        </w:rPr>
        <w:t>Al-</w:t>
      </w:r>
      <w:proofErr w:type="spellStart"/>
      <w:r w:rsidR="007772C4" w:rsidRPr="007772C4">
        <w:rPr>
          <w:i/>
          <w:lang w:val="fr-FR"/>
        </w:rPr>
        <w:t>Khawaja</w:t>
      </w:r>
      <w:proofErr w:type="spellEnd"/>
      <w:r w:rsidR="007772C4" w:rsidRPr="007772C4">
        <w:rPr>
          <w:i/>
          <w:lang w:val="fr-FR"/>
        </w:rPr>
        <w:t xml:space="preserve"> et </w:t>
      </w:r>
      <w:proofErr w:type="spellStart"/>
      <w:r w:rsidR="002A67FE" w:rsidRPr="007772C4">
        <w:rPr>
          <w:i/>
          <w:lang w:val="fr-FR"/>
        </w:rPr>
        <w:t>Tahery</w:t>
      </w:r>
      <w:proofErr w:type="spellEnd"/>
      <w:r w:rsidR="002A67FE" w:rsidRPr="007772C4">
        <w:rPr>
          <w:i/>
          <w:lang w:val="fr-FR"/>
        </w:rPr>
        <w:t xml:space="preserve"> c. Royaume-Uni</w:t>
      </w:r>
      <w:r w:rsidR="002A67FE" w:rsidRPr="007772C4">
        <w:rPr>
          <w:lang w:val="fr-FR"/>
        </w:rPr>
        <w:t xml:space="preserve"> ([GC], n</w:t>
      </w:r>
      <w:r w:rsidR="002A67FE" w:rsidRPr="007772C4">
        <w:rPr>
          <w:vertAlign w:val="superscript"/>
          <w:lang w:val="fr-FR"/>
        </w:rPr>
        <w:t>os</w:t>
      </w:r>
      <w:r w:rsidR="002A67FE" w:rsidRPr="007772C4">
        <w:rPr>
          <w:lang w:val="fr-FR"/>
        </w:rPr>
        <w:t xml:space="preserve"> 26766/05 et 22228/06, CEDH 2011, </w:t>
      </w:r>
      <w:r w:rsidR="002A67FE" w:rsidRPr="007772C4">
        <w:rPr>
          <w:lang w:val="fr-FR"/>
        </w:rPr>
        <w:lastRenderedPageBreak/>
        <w:t>auquel se trouve joint l</w:t>
      </w:r>
      <w:r w:rsidR="007772C4" w:rsidRPr="007772C4">
        <w:rPr>
          <w:lang w:val="fr-FR"/>
        </w:rPr>
        <w:t>’</w:t>
      </w:r>
      <w:r w:rsidR="002A67FE" w:rsidRPr="007772C4">
        <w:rPr>
          <w:lang w:val="fr-FR"/>
        </w:rPr>
        <w:t>exposé de l</w:t>
      </w:r>
      <w:r w:rsidR="007772C4" w:rsidRPr="007772C4">
        <w:rPr>
          <w:lang w:val="fr-FR"/>
        </w:rPr>
        <w:t>’</w:t>
      </w:r>
      <w:r w:rsidR="002A67FE" w:rsidRPr="007772C4">
        <w:rPr>
          <w:lang w:val="fr-FR"/>
        </w:rPr>
        <w:t xml:space="preserve">opinion concordante du juge </w:t>
      </w:r>
      <w:proofErr w:type="spellStart"/>
      <w:r w:rsidR="002A67FE" w:rsidRPr="007772C4">
        <w:rPr>
          <w:lang w:val="fr-FR"/>
        </w:rPr>
        <w:t>Bratza</w:t>
      </w:r>
      <w:proofErr w:type="spellEnd"/>
      <w:r w:rsidR="002A67FE" w:rsidRPr="007772C4">
        <w:rPr>
          <w:lang w:val="fr-FR"/>
        </w:rPr>
        <w:t xml:space="preserve"> et de l</w:t>
      </w:r>
      <w:r w:rsidR="007772C4" w:rsidRPr="007772C4">
        <w:rPr>
          <w:lang w:val="fr-FR"/>
        </w:rPr>
        <w:t>’</w:t>
      </w:r>
      <w:r w:rsidR="002A67FE" w:rsidRPr="007772C4">
        <w:rPr>
          <w:lang w:val="fr-FR"/>
        </w:rPr>
        <w:t xml:space="preserve">opinion en partie concordante et en partie dissidente des juges </w:t>
      </w:r>
      <w:proofErr w:type="spellStart"/>
      <w:r w:rsidR="002A67FE" w:rsidRPr="007772C4">
        <w:rPr>
          <w:lang w:val="fr-FR"/>
        </w:rPr>
        <w:t>Sajó</w:t>
      </w:r>
      <w:proofErr w:type="spellEnd"/>
      <w:r w:rsidR="002A67FE" w:rsidRPr="007772C4" w:rsidDel="00FD756E">
        <w:rPr>
          <w:lang w:val="fr-FR"/>
        </w:rPr>
        <w:t xml:space="preserve"> </w:t>
      </w:r>
      <w:r w:rsidR="002A67FE" w:rsidRPr="007772C4">
        <w:rPr>
          <w:lang w:val="fr-FR"/>
        </w:rPr>
        <w:t xml:space="preserve">et </w:t>
      </w:r>
      <w:proofErr w:type="spellStart"/>
      <w:r w:rsidR="002A67FE" w:rsidRPr="007772C4">
        <w:rPr>
          <w:lang w:val="fr-FR"/>
        </w:rPr>
        <w:t>Karakaş</w:t>
      </w:r>
      <w:proofErr w:type="spellEnd"/>
      <w:r w:rsidR="002A67FE" w:rsidRPr="007772C4">
        <w:rPr>
          <w:lang w:val="fr-FR"/>
        </w:rPr>
        <w:t>). Je note, à cet égard, que les principes concernant l</w:t>
      </w:r>
      <w:r w:rsidR="007772C4" w:rsidRPr="007772C4">
        <w:rPr>
          <w:lang w:val="fr-FR"/>
        </w:rPr>
        <w:t>’</w:t>
      </w:r>
      <w:r w:rsidR="002A67FE" w:rsidRPr="007772C4">
        <w:rPr>
          <w:lang w:val="fr-FR"/>
        </w:rPr>
        <w:t>audition des témoins ont été énoncés dans cette affaire dans le contexte d</w:t>
      </w:r>
      <w:r w:rsidR="007772C4" w:rsidRPr="007772C4">
        <w:rPr>
          <w:lang w:val="fr-FR"/>
        </w:rPr>
        <w:t>’</w:t>
      </w:r>
      <w:r w:rsidR="002A67FE" w:rsidRPr="007772C4">
        <w:rPr>
          <w:lang w:val="fr-FR"/>
        </w:rPr>
        <w:t>un procès fondé sur les principes du contradictoire et du rôle limité du juge. Les principes du procès équitable, élaborés pour de telles procédures pénales, sont difficilement transposables à des procédures pénales fondées sur le rôle actif du juge, avec de forts éléments inquisitoires au stade du procès. À mon avis, la question de l</w:t>
      </w:r>
      <w:r w:rsidR="007772C4" w:rsidRPr="007772C4">
        <w:rPr>
          <w:lang w:val="fr-FR"/>
        </w:rPr>
        <w:t>’</w:t>
      </w:r>
      <w:r w:rsidR="002A67FE" w:rsidRPr="007772C4">
        <w:rPr>
          <w:lang w:val="fr-FR"/>
        </w:rPr>
        <w:t xml:space="preserve">équité du procès pénal doit être revisitée par la Cour à la lumière des principes fondamentaux des différentes procédures pénales. </w:t>
      </w:r>
      <w:proofErr w:type="gramStart"/>
      <w:r w:rsidR="002A67FE" w:rsidRPr="007772C4">
        <w:rPr>
          <w:lang w:val="fr-FR"/>
        </w:rPr>
        <w:t>Je remarque dans ce contexte que le rôle actif du juge est en soi un élément qui peut compenser certaines formes d</w:t>
      </w:r>
      <w:r w:rsidR="007772C4" w:rsidRPr="007772C4">
        <w:rPr>
          <w:lang w:val="fr-FR"/>
        </w:rPr>
        <w:t>’</w:t>
      </w:r>
      <w:r w:rsidR="002A67FE" w:rsidRPr="007772C4">
        <w:rPr>
          <w:lang w:val="fr-FR"/>
        </w:rPr>
        <w:t>inégalité des armes entre les parties, ce qui a été mis en exergue à très juste titre dans l</w:t>
      </w:r>
      <w:r w:rsidR="007772C4" w:rsidRPr="007772C4">
        <w:rPr>
          <w:lang w:val="fr-FR"/>
        </w:rPr>
        <w:t>’</w:t>
      </w:r>
      <w:r w:rsidR="002A67FE" w:rsidRPr="007772C4">
        <w:rPr>
          <w:lang w:val="fr-FR"/>
        </w:rPr>
        <w:t xml:space="preserve">arrêt </w:t>
      </w:r>
      <w:proofErr w:type="spellStart"/>
      <w:r w:rsidR="002A67FE" w:rsidRPr="007772C4">
        <w:rPr>
          <w:i/>
          <w:lang w:val="fr-FR"/>
        </w:rPr>
        <w:t>Regner</w:t>
      </w:r>
      <w:proofErr w:type="spellEnd"/>
      <w:r w:rsidR="002A67FE" w:rsidRPr="007772C4">
        <w:rPr>
          <w:i/>
          <w:lang w:val="fr-FR"/>
        </w:rPr>
        <w:t xml:space="preserve"> c. République tchèque</w:t>
      </w:r>
      <w:r w:rsidR="002A67FE" w:rsidRPr="007772C4">
        <w:rPr>
          <w:lang w:val="fr-FR"/>
        </w:rPr>
        <w:t xml:space="preserve"> ([GC], n</w:t>
      </w:r>
      <w:r w:rsidR="002A67FE" w:rsidRPr="007772C4">
        <w:rPr>
          <w:vertAlign w:val="superscript"/>
          <w:lang w:val="fr-FR"/>
        </w:rPr>
        <w:t>o</w:t>
      </w:r>
      <w:r w:rsidR="002A67FE" w:rsidRPr="007772C4">
        <w:rPr>
          <w:lang w:val="fr-FR"/>
        </w:rPr>
        <w:t xml:space="preserve"> 35289/11, § 152, 19 septembre 2017, auquel se trouve joint l</w:t>
      </w:r>
      <w:r w:rsidR="007772C4" w:rsidRPr="007772C4">
        <w:rPr>
          <w:lang w:val="fr-FR"/>
        </w:rPr>
        <w:t>’</w:t>
      </w:r>
      <w:r w:rsidR="002A67FE" w:rsidRPr="007772C4">
        <w:rPr>
          <w:lang w:val="fr-FR"/>
        </w:rPr>
        <w:t xml:space="preserve">opinion concordante du juge </w:t>
      </w:r>
      <w:proofErr w:type="spellStart"/>
      <w:r w:rsidR="002A67FE" w:rsidRPr="007772C4">
        <w:rPr>
          <w:lang w:val="fr-FR"/>
        </w:rPr>
        <w:t>Wojtyczek</w:t>
      </w:r>
      <w:proofErr w:type="spellEnd"/>
      <w:r w:rsidR="002A67FE" w:rsidRPr="007772C4">
        <w:rPr>
          <w:lang w:val="fr-FR"/>
        </w:rPr>
        <w:t>, l</w:t>
      </w:r>
      <w:r w:rsidR="007772C4" w:rsidRPr="007772C4">
        <w:rPr>
          <w:lang w:val="fr-FR"/>
        </w:rPr>
        <w:t>’</w:t>
      </w:r>
      <w:r w:rsidR="002A67FE" w:rsidRPr="007772C4">
        <w:rPr>
          <w:lang w:val="fr-FR"/>
        </w:rPr>
        <w:t xml:space="preserve">opinion en partie dissidente commune aux juges Raimondi, </w:t>
      </w:r>
      <w:proofErr w:type="spellStart"/>
      <w:r w:rsidR="002A67FE" w:rsidRPr="007772C4">
        <w:rPr>
          <w:lang w:val="fr-FR"/>
        </w:rPr>
        <w:t>Sicilianos</w:t>
      </w:r>
      <w:proofErr w:type="spellEnd"/>
      <w:r w:rsidR="002A67FE" w:rsidRPr="007772C4">
        <w:rPr>
          <w:lang w:val="fr-FR"/>
        </w:rPr>
        <w:t xml:space="preserve">, </w:t>
      </w:r>
      <w:proofErr w:type="spellStart"/>
      <w:r w:rsidR="002A67FE" w:rsidRPr="007772C4">
        <w:rPr>
          <w:lang w:val="fr-FR"/>
        </w:rPr>
        <w:t>Spano</w:t>
      </w:r>
      <w:proofErr w:type="spellEnd"/>
      <w:r w:rsidR="002A67FE" w:rsidRPr="007772C4">
        <w:rPr>
          <w:lang w:val="fr-FR"/>
        </w:rPr>
        <w:t xml:space="preserve">, </w:t>
      </w:r>
      <w:proofErr w:type="spellStart"/>
      <w:r w:rsidR="002A67FE" w:rsidRPr="007772C4">
        <w:rPr>
          <w:lang w:val="fr-FR"/>
        </w:rPr>
        <w:t>Ravarani</w:t>
      </w:r>
      <w:proofErr w:type="spellEnd"/>
      <w:r w:rsidR="002A67FE" w:rsidRPr="007772C4">
        <w:rPr>
          <w:lang w:val="fr-FR"/>
        </w:rPr>
        <w:t xml:space="preserve"> et </w:t>
      </w:r>
      <w:proofErr w:type="spellStart"/>
      <w:r w:rsidR="002A67FE" w:rsidRPr="007772C4">
        <w:rPr>
          <w:lang w:val="fr-FR"/>
        </w:rPr>
        <w:t>Pastor</w:t>
      </w:r>
      <w:proofErr w:type="spellEnd"/>
      <w:r w:rsidR="002A67FE" w:rsidRPr="007772C4">
        <w:rPr>
          <w:lang w:val="fr-FR"/>
        </w:rPr>
        <w:t xml:space="preserve"> </w:t>
      </w:r>
      <w:proofErr w:type="spellStart"/>
      <w:r w:rsidR="002A67FE" w:rsidRPr="007772C4">
        <w:rPr>
          <w:lang w:val="fr-FR"/>
        </w:rPr>
        <w:t>Vilanova</w:t>
      </w:r>
      <w:proofErr w:type="spellEnd"/>
      <w:r w:rsidR="002A67FE" w:rsidRPr="007772C4">
        <w:rPr>
          <w:lang w:val="fr-FR"/>
        </w:rPr>
        <w:t>, l</w:t>
      </w:r>
      <w:r w:rsidR="007772C4" w:rsidRPr="007772C4">
        <w:rPr>
          <w:lang w:val="fr-FR"/>
        </w:rPr>
        <w:t>’</w:t>
      </w:r>
      <w:r w:rsidR="002A67FE" w:rsidRPr="007772C4">
        <w:rPr>
          <w:lang w:val="fr-FR"/>
        </w:rPr>
        <w:t xml:space="preserve">opinion en partie dissidente commune aux juges </w:t>
      </w:r>
      <w:proofErr w:type="spellStart"/>
      <w:r w:rsidR="002A67FE" w:rsidRPr="007772C4">
        <w:rPr>
          <w:lang w:val="fr-FR"/>
        </w:rPr>
        <w:t>Lazarova</w:t>
      </w:r>
      <w:proofErr w:type="spellEnd"/>
      <w:r w:rsidR="002A67FE" w:rsidRPr="007772C4">
        <w:rPr>
          <w:lang w:val="fr-FR"/>
        </w:rPr>
        <w:t xml:space="preserve"> </w:t>
      </w:r>
      <w:proofErr w:type="spellStart"/>
      <w:r w:rsidR="002A67FE" w:rsidRPr="007772C4">
        <w:rPr>
          <w:lang w:val="fr-FR"/>
        </w:rPr>
        <w:t>Trajkovska</w:t>
      </w:r>
      <w:proofErr w:type="spellEnd"/>
      <w:r w:rsidR="002A67FE" w:rsidRPr="007772C4">
        <w:rPr>
          <w:lang w:val="fr-FR"/>
        </w:rPr>
        <w:t xml:space="preserve"> et </w:t>
      </w:r>
      <w:proofErr w:type="spellStart"/>
      <w:r w:rsidR="002A67FE" w:rsidRPr="007772C4">
        <w:rPr>
          <w:lang w:val="fr-FR"/>
        </w:rPr>
        <w:t>López</w:t>
      </w:r>
      <w:proofErr w:type="spellEnd"/>
      <w:r w:rsidR="002A67FE" w:rsidRPr="007772C4">
        <w:rPr>
          <w:lang w:val="fr-FR"/>
        </w:rPr>
        <w:t xml:space="preserve"> Guerra, l</w:t>
      </w:r>
      <w:r w:rsidR="007772C4" w:rsidRPr="007772C4">
        <w:rPr>
          <w:lang w:val="fr-FR"/>
        </w:rPr>
        <w:t>’</w:t>
      </w:r>
      <w:r w:rsidR="002A67FE" w:rsidRPr="007772C4">
        <w:rPr>
          <w:lang w:val="fr-FR"/>
        </w:rPr>
        <w:t xml:space="preserve">opinion en partie dissidente du juge </w:t>
      </w:r>
      <w:proofErr w:type="spellStart"/>
      <w:r w:rsidR="002A67FE" w:rsidRPr="007772C4">
        <w:rPr>
          <w:lang w:val="fr-FR"/>
        </w:rPr>
        <w:t>Serghides</w:t>
      </w:r>
      <w:proofErr w:type="spellEnd"/>
      <w:r w:rsidR="002A67FE" w:rsidRPr="007772C4">
        <w:rPr>
          <w:lang w:val="fr-FR"/>
        </w:rPr>
        <w:t xml:space="preserve"> et l</w:t>
      </w:r>
      <w:r w:rsidR="007772C4" w:rsidRPr="007772C4">
        <w:rPr>
          <w:lang w:val="fr-FR"/>
        </w:rPr>
        <w:t>’</w:t>
      </w:r>
      <w:r w:rsidR="002A67FE" w:rsidRPr="007772C4">
        <w:rPr>
          <w:lang w:val="fr-FR"/>
        </w:rPr>
        <w:t xml:space="preserve">opinion dissidente du juge </w:t>
      </w:r>
      <w:proofErr w:type="spellStart"/>
      <w:r w:rsidR="002A67FE" w:rsidRPr="007772C4">
        <w:rPr>
          <w:lang w:val="fr-FR"/>
        </w:rPr>
        <w:t>Sajó</w:t>
      </w:r>
      <w:proofErr w:type="spellEnd"/>
      <w:r w:rsidR="002A67FE" w:rsidRPr="007772C4">
        <w:rPr>
          <w:lang w:val="fr-FR"/>
        </w:rPr>
        <w:t>).</w:t>
      </w:r>
      <w:proofErr w:type="gramEnd"/>
      <w:r w:rsidR="002A67FE" w:rsidRPr="007772C4">
        <w:rPr>
          <w:lang w:val="fr-FR"/>
        </w:rPr>
        <w:t xml:space="preserve"> Bien que ce dernier arrêt concerne la procédure administrative contentieuse, les considérations exposées dans sa motivation gardent leur pertinence pour d</w:t>
      </w:r>
      <w:r w:rsidR="007772C4" w:rsidRPr="007772C4">
        <w:rPr>
          <w:lang w:val="fr-FR"/>
        </w:rPr>
        <w:t>’</w:t>
      </w:r>
      <w:r w:rsidR="002A67FE" w:rsidRPr="007772C4">
        <w:rPr>
          <w:lang w:val="fr-FR"/>
        </w:rPr>
        <w:t>autres procédures.</w:t>
      </w:r>
    </w:p>
    <w:p w:rsidR="00D155CF" w:rsidRPr="007772C4" w:rsidRDefault="002A67FE" w:rsidP="007772C4">
      <w:pPr>
        <w:pStyle w:val="OpiPara"/>
        <w:rPr>
          <w:rFonts w:eastAsia="Times New Roman"/>
          <w:lang w:val="fr-FR"/>
        </w:rPr>
      </w:pPr>
      <w:r w:rsidRPr="007772C4">
        <w:rPr>
          <w:rFonts w:eastAsia="Times New Roman"/>
          <w:lang w:val="fr-FR"/>
        </w:rPr>
        <w:t>Il faut rappeler que l</w:t>
      </w:r>
      <w:r w:rsidR="007772C4" w:rsidRPr="007772C4">
        <w:rPr>
          <w:rFonts w:eastAsia="Times New Roman"/>
          <w:lang w:val="fr-FR"/>
        </w:rPr>
        <w:t>’</w:t>
      </w:r>
      <w:r w:rsidRPr="007772C4">
        <w:rPr>
          <w:rFonts w:eastAsia="Times New Roman"/>
          <w:lang w:val="fr-FR"/>
        </w:rPr>
        <w:t>égalité des armes et le respect des droits des parties ne sont pas la finalité ultime du droit mais l</w:t>
      </w:r>
      <w:r w:rsidR="007772C4" w:rsidRPr="007772C4">
        <w:rPr>
          <w:rFonts w:eastAsia="Times New Roman"/>
          <w:lang w:val="fr-FR"/>
        </w:rPr>
        <w:t>’</w:t>
      </w:r>
      <w:r w:rsidRPr="007772C4">
        <w:rPr>
          <w:rFonts w:eastAsia="Times New Roman"/>
          <w:lang w:val="fr-FR"/>
        </w:rPr>
        <w:t>instrument servant, d</w:t>
      </w:r>
      <w:r w:rsidR="007772C4" w:rsidRPr="007772C4">
        <w:rPr>
          <w:rFonts w:eastAsia="Times New Roman"/>
          <w:lang w:val="fr-FR"/>
        </w:rPr>
        <w:t>’</w:t>
      </w:r>
      <w:r w:rsidRPr="007772C4">
        <w:rPr>
          <w:rFonts w:eastAsia="Times New Roman"/>
          <w:lang w:val="fr-FR"/>
        </w:rPr>
        <w:t>une part, la dignité et l</w:t>
      </w:r>
      <w:r w:rsidR="007772C4" w:rsidRPr="007772C4">
        <w:rPr>
          <w:rFonts w:eastAsia="Times New Roman"/>
          <w:lang w:val="fr-FR"/>
        </w:rPr>
        <w:t>’</w:t>
      </w:r>
      <w:r w:rsidRPr="007772C4">
        <w:rPr>
          <w:rFonts w:eastAsia="Times New Roman"/>
          <w:lang w:val="fr-FR"/>
        </w:rPr>
        <w:t>autonomie individuelle et, d</w:t>
      </w:r>
      <w:r w:rsidR="007772C4" w:rsidRPr="007772C4">
        <w:rPr>
          <w:rFonts w:eastAsia="Times New Roman"/>
          <w:lang w:val="fr-FR"/>
        </w:rPr>
        <w:t>’</w:t>
      </w:r>
      <w:r w:rsidRPr="007772C4">
        <w:rPr>
          <w:rFonts w:eastAsia="Times New Roman"/>
          <w:lang w:val="fr-FR"/>
        </w:rPr>
        <w:t>autre part, la vérité et la justice substantielle. La question essentielle est celle de savoir si les règles procédurales, envisagées comme un système et appliquées en l</w:t>
      </w:r>
      <w:r w:rsidR="007772C4" w:rsidRPr="007772C4">
        <w:rPr>
          <w:rFonts w:eastAsia="Times New Roman"/>
          <w:lang w:val="fr-FR"/>
        </w:rPr>
        <w:t>’</w:t>
      </w:r>
      <w:r w:rsidRPr="007772C4">
        <w:rPr>
          <w:rFonts w:eastAsia="Times New Roman"/>
          <w:lang w:val="fr-FR"/>
        </w:rPr>
        <w:t>espèce,</w:t>
      </w:r>
      <w:r w:rsidR="00D155CF" w:rsidRPr="007772C4">
        <w:rPr>
          <w:rFonts w:eastAsia="Times New Roman"/>
          <w:lang w:val="fr-FR"/>
        </w:rPr>
        <w:t xml:space="preserve"> </w:t>
      </w:r>
      <w:r w:rsidRPr="007772C4">
        <w:rPr>
          <w:rFonts w:eastAsia="Times New Roman"/>
          <w:lang w:val="fr-FR"/>
        </w:rPr>
        <w:t>permettent d</w:t>
      </w:r>
      <w:r w:rsidR="007772C4" w:rsidRPr="007772C4">
        <w:rPr>
          <w:rFonts w:eastAsia="Times New Roman"/>
          <w:lang w:val="fr-FR"/>
        </w:rPr>
        <w:t>’</w:t>
      </w:r>
      <w:r w:rsidRPr="007772C4">
        <w:rPr>
          <w:rFonts w:eastAsia="Times New Roman"/>
          <w:lang w:val="fr-FR"/>
        </w:rPr>
        <w:t>aboutir, dans le respect de la dignité de l</w:t>
      </w:r>
      <w:r w:rsidR="007772C4" w:rsidRPr="007772C4">
        <w:rPr>
          <w:rFonts w:eastAsia="Times New Roman"/>
          <w:lang w:val="fr-FR"/>
        </w:rPr>
        <w:t>’</w:t>
      </w:r>
      <w:r w:rsidRPr="007772C4">
        <w:rPr>
          <w:rFonts w:eastAsia="Times New Roman"/>
          <w:lang w:val="fr-FR"/>
        </w:rPr>
        <w:t>homme, à une décision fondée sur la vérité et d</w:t>
      </w:r>
      <w:r w:rsidR="007772C4" w:rsidRPr="007772C4">
        <w:rPr>
          <w:rFonts w:eastAsia="Times New Roman"/>
          <w:lang w:val="fr-FR"/>
        </w:rPr>
        <w:t>’</w:t>
      </w:r>
      <w:r w:rsidRPr="007772C4">
        <w:rPr>
          <w:rFonts w:eastAsia="Times New Roman"/>
          <w:lang w:val="fr-FR"/>
        </w:rPr>
        <w:t>éviter les erreurs judiciaires.</w:t>
      </w:r>
    </w:p>
    <w:sectPr w:rsidR="00D155CF" w:rsidRPr="007772C4" w:rsidSect="002A67FE">
      <w:headerReference w:type="even" r:id="rId35"/>
      <w:headerReference w:type="default" r:id="rId36"/>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DD1" w:rsidRPr="007E5FBE" w:rsidRDefault="00367DD1" w:rsidP="00E77CB3">
      <w:pPr>
        <w:rPr>
          <w:lang w:val="fr-FR"/>
        </w:rPr>
      </w:pPr>
      <w:r w:rsidRPr="007E5FBE">
        <w:rPr>
          <w:lang w:val="fr-FR"/>
        </w:rPr>
        <w:separator/>
      </w:r>
    </w:p>
  </w:endnote>
  <w:endnote w:type="continuationSeparator" w:id="0">
    <w:p w:rsidR="00367DD1" w:rsidRPr="007E5FBE" w:rsidRDefault="00367DD1" w:rsidP="00E77CB3">
      <w:pPr>
        <w:rPr>
          <w:lang w:val="fr-FR"/>
        </w:rPr>
      </w:pPr>
      <w:r w:rsidRPr="007E5FBE">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5CF" w:rsidRPr="00150BFA" w:rsidRDefault="00D155CF" w:rsidP="00FD2034">
    <w:pPr>
      <w:jc w:val="center"/>
    </w:pPr>
    <w:r>
      <w:rPr>
        <w:noProof/>
        <w:lang w:val="it-IT" w:eastAsia="it-IT"/>
      </w:rPr>
      <w:drawing>
        <wp:inline distT="0" distB="0" distL="0" distR="0" wp14:anchorId="34BF40FD" wp14:editId="282D003B">
          <wp:extent cx="771525" cy="619125"/>
          <wp:effectExtent l="0" t="0" r="9525" b="9525"/>
          <wp:docPr id="51" name="Picture 5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D155CF" w:rsidRDefault="00D155C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DD1" w:rsidRPr="007E5FBE" w:rsidRDefault="00367DD1" w:rsidP="00E77CB3">
      <w:pPr>
        <w:rPr>
          <w:lang w:val="fr-FR"/>
        </w:rPr>
      </w:pPr>
      <w:r w:rsidRPr="007E5FBE">
        <w:rPr>
          <w:lang w:val="fr-FR"/>
        </w:rPr>
        <w:separator/>
      </w:r>
    </w:p>
  </w:footnote>
  <w:footnote w:type="continuationSeparator" w:id="0">
    <w:p w:rsidR="00367DD1" w:rsidRPr="007E5FBE" w:rsidRDefault="00367DD1" w:rsidP="00E77CB3">
      <w:pPr>
        <w:rPr>
          <w:lang w:val="fr-FR"/>
        </w:rPr>
      </w:pPr>
      <w:r w:rsidRPr="007E5FBE">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5CF" w:rsidRPr="00D21386" w:rsidRDefault="00D155CF" w:rsidP="00D21386">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5CF" w:rsidRPr="00A45145" w:rsidRDefault="00D155CF" w:rsidP="00FD2034">
    <w:pPr>
      <w:jc w:val="center"/>
    </w:pPr>
    <w:r>
      <w:rPr>
        <w:noProof/>
        <w:lang w:val="it-IT" w:eastAsia="it-IT"/>
      </w:rPr>
      <w:drawing>
        <wp:inline distT="0" distB="0" distL="0" distR="0" wp14:anchorId="5AEB8B96" wp14:editId="1956DF3F">
          <wp:extent cx="2962275" cy="1219200"/>
          <wp:effectExtent l="0" t="0" r="9525" b="0"/>
          <wp:docPr id="50" name="Picture 5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D155CF" w:rsidRDefault="00D155CF" w:rsidP="002C17C7">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5CF" w:rsidRPr="002A67FE" w:rsidRDefault="00D155CF" w:rsidP="00C611D8">
    <w:pPr>
      <w:pStyle w:val="ECHRHeader"/>
      <w:rPr>
        <w:lang w:val="fr-FR"/>
      </w:rPr>
    </w:pPr>
    <w:r>
      <w:rPr>
        <w:rStyle w:val="Numeropagina"/>
      </w:rPr>
      <w:fldChar w:fldCharType="begin"/>
    </w:r>
    <w:r w:rsidRPr="002A67FE">
      <w:rPr>
        <w:rStyle w:val="Numeropagina"/>
        <w:lang w:val="fr-FR"/>
      </w:rPr>
      <w:instrText xml:space="preserve"> PAGE </w:instrText>
    </w:r>
    <w:r>
      <w:rPr>
        <w:rStyle w:val="Numeropagina"/>
      </w:rPr>
      <w:fldChar w:fldCharType="separate"/>
    </w:r>
    <w:r w:rsidR="00EF4294">
      <w:rPr>
        <w:rStyle w:val="Numeropagina"/>
        <w:noProof/>
        <w:lang w:val="fr-FR"/>
      </w:rPr>
      <w:t>12</w:t>
    </w:r>
    <w:r>
      <w:rPr>
        <w:rStyle w:val="Numeropagina"/>
      </w:rPr>
      <w:fldChar w:fldCharType="end"/>
    </w:r>
    <w:r w:rsidRPr="002A67FE">
      <w:rPr>
        <w:rStyle w:val="Numeropagina"/>
        <w:lang w:val="fr-FR"/>
      </w:rPr>
      <w:tab/>
    </w:r>
    <w:r w:rsidRPr="00931AE4">
      <w:rPr>
        <w:lang w:val="fr-FR"/>
      </w:rPr>
      <w:t>ARRÊT CAFAGNA c. ITALIE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5CF" w:rsidRPr="007E5FBE" w:rsidRDefault="00D155CF" w:rsidP="00C63990">
    <w:pPr>
      <w:pStyle w:val="ECHRHeader"/>
      <w:rPr>
        <w:lang w:val="fr-FR"/>
      </w:rPr>
    </w:pPr>
    <w:r w:rsidRPr="007E5FBE">
      <w:rPr>
        <w:lang w:val="fr-FR"/>
      </w:rPr>
      <w:tab/>
    </w:r>
    <w:r w:rsidRPr="00931AE4">
      <w:rPr>
        <w:lang w:val="fr-FR"/>
      </w:rPr>
      <w:t>ARRÊT CAFAGNA c. ITALIE</w:t>
    </w:r>
    <w:r w:rsidRPr="002A67FE">
      <w:rPr>
        <w:lang w:val="fr-FR"/>
      </w:rPr>
      <w:tab/>
    </w: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EF4294">
      <w:rPr>
        <w:rStyle w:val="Numeropagina"/>
        <w:noProof/>
        <w:lang w:val="fr-FR"/>
      </w:rPr>
      <w:t>13</w:t>
    </w:r>
    <w:r>
      <w:rPr>
        <w:rStyle w:val="Numeropagina"/>
        <w:lang w:val="fr-F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5CF" w:rsidRPr="002A67FE" w:rsidRDefault="00D155CF" w:rsidP="00C611D8">
    <w:pPr>
      <w:pStyle w:val="ECHRHeader"/>
      <w:rPr>
        <w:lang w:val="fr-FR"/>
      </w:rPr>
    </w:pPr>
    <w:r>
      <w:rPr>
        <w:rStyle w:val="Numeropagina"/>
      </w:rPr>
      <w:fldChar w:fldCharType="begin"/>
    </w:r>
    <w:r w:rsidRPr="002A67FE">
      <w:rPr>
        <w:rStyle w:val="Numeropagina"/>
        <w:lang w:val="fr-FR"/>
      </w:rPr>
      <w:instrText xml:space="preserve"> PAGE </w:instrText>
    </w:r>
    <w:r>
      <w:rPr>
        <w:rStyle w:val="Numeropagina"/>
      </w:rPr>
      <w:fldChar w:fldCharType="separate"/>
    </w:r>
    <w:r w:rsidR="00EF4294">
      <w:rPr>
        <w:rStyle w:val="Numeropagina"/>
        <w:noProof/>
        <w:lang w:val="fr-FR"/>
      </w:rPr>
      <w:t>16</w:t>
    </w:r>
    <w:r>
      <w:rPr>
        <w:rStyle w:val="Numeropagina"/>
      </w:rPr>
      <w:fldChar w:fldCharType="end"/>
    </w:r>
    <w:r w:rsidRPr="002A67FE">
      <w:rPr>
        <w:rStyle w:val="Numeropagina"/>
        <w:lang w:val="fr-FR"/>
      </w:rPr>
      <w:tab/>
    </w:r>
    <w:r w:rsidRPr="00931AE4">
      <w:rPr>
        <w:lang w:val="fr-FR"/>
      </w:rPr>
      <w:t>ARRÊT CAFAGNA c. ITALIE – OPINION SÉPARÉE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5CF" w:rsidRPr="007E5FBE" w:rsidRDefault="00D155CF" w:rsidP="00C63990">
    <w:pPr>
      <w:pStyle w:val="ECHRHeader"/>
      <w:rPr>
        <w:lang w:val="fr-FR"/>
      </w:rPr>
    </w:pPr>
    <w:r w:rsidRPr="007E5FBE">
      <w:rPr>
        <w:lang w:val="fr-FR"/>
      </w:rPr>
      <w:tab/>
    </w:r>
    <w:r w:rsidRPr="00931AE4">
      <w:rPr>
        <w:lang w:val="fr-FR"/>
      </w:rPr>
      <w:t>ARRÊT CAFAGNA c. ITALIE – OPINION SÉPARÉE</w:t>
    </w:r>
    <w:r w:rsidRPr="002A67FE">
      <w:rPr>
        <w:lang w:val="fr-FR"/>
      </w:rPr>
      <w:tab/>
    </w: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EF4294">
      <w:rPr>
        <w:rStyle w:val="Numeropagina"/>
        <w:noProof/>
        <w:lang w:val="fr-FR"/>
      </w:rPr>
      <w:t>15</w:t>
    </w:r>
    <w:r>
      <w:rPr>
        <w:rStyle w:val="Numeropagina"/>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AA222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AC189B2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0C4301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7268F2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FA0A71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3AEA0B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D7306C"/>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314B2C"/>
    <w:rsid w:val="000041F8"/>
    <w:rsid w:val="000042A8"/>
    <w:rsid w:val="00004308"/>
    <w:rsid w:val="00005BF0"/>
    <w:rsid w:val="00007154"/>
    <w:rsid w:val="000103AE"/>
    <w:rsid w:val="00011D69"/>
    <w:rsid w:val="0001294A"/>
    <w:rsid w:val="00012AD3"/>
    <w:rsid w:val="000148F9"/>
    <w:rsid w:val="00015C2D"/>
    <w:rsid w:val="00015F00"/>
    <w:rsid w:val="00022C1D"/>
    <w:rsid w:val="00025B24"/>
    <w:rsid w:val="0002623C"/>
    <w:rsid w:val="00031347"/>
    <w:rsid w:val="00034987"/>
    <w:rsid w:val="0003504C"/>
    <w:rsid w:val="00035334"/>
    <w:rsid w:val="00043A74"/>
    <w:rsid w:val="00045527"/>
    <w:rsid w:val="00047372"/>
    <w:rsid w:val="000602DF"/>
    <w:rsid w:val="00060790"/>
    <w:rsid w:val="00061B05"/>
    <w:rsid w:val="000632D5"/>
    <w:rsid w:val="000644EE"/>
    <w:rsid w:val="00064A95"/>
    <w:rsid w:val="00066A71"/>
    <w:rsid w:val="00067178"/>
    <w:rsid w:val="00070310"/>
    <w:rsid w:val="000749F4"/>
    <w:rsid w:val="000827FC"/>
    <w:rsid w:val="000925AD"/>
    <w:rsid w:val="00093F44"/>
    <w:rsid w:val="00094D5D"/>
    <w:rsid w:val="000A24EB"/>
    <w:rsid w:val="000B6923"/>
    <w:rsid w:val="000C49F8"/>
    <w:rsid w:val="000C5F3C"/>
    <w:rsid w:val="000C6322"/>
    <w:rsid w:val="000C6DCC"/>
    <w:rsid w:val="000D47AA"/>
    <w:rsid w:val="000D6878"/>
    <w:rsid w:val="000D721F"/>
    <w:rsid w:val="000D7FF6"/>
    <w:rsid w:val="000E069B"/>
    <w:rsid w:val="000E0E82"/>
    <w:rsid w:val="000E1DC5"/>
    <w:rsid w:val="000E223F"/>
    <w:rsid w:val="000E5A6B"/>
    <w:rsid w:val="000E7D45"/>
    <w:rsid w:val="000F00EF"/>
    <w:rsid w:val="000F3C79"/>
    <w:rsid w:val="000F6B11"/>
    <w:rsid w:val="000F7851"/>
    <w:rsid w:val="00104419"/>
    <w:rsid w:val="00104E23"/>
    <w:rsid w:val="00111B0C"/>
    <w:rsid w:val="001123DE"/>
    <w:rsid w:val="00116DC2"/>
    <w:rsid w:val="00120D6C"/>
    <w:rsid w:val="00121ACF"/>
    <w:rsid w:val="00122B43"/>
    <w:rsid w:val="00123543"/>
    <w:rsid w:val="001257EC"/>
    <w:rsid w:val="00126907"/>
    <w:rsid w:val="00132695"/>
    <w:rsid w:val="00133D33"/>
    <w:rsid w:val="00134D64"/>
    <w:rsid w:val="00135A30"/>
    <w:rsid w:val="0013612C"/>
    <w:rsid w:val="00137FF6"/>
    <w:rsid w:val="00141650"/>
    <w:rsid w:val="00142C48"/>
    <w:rsid w:val="0014523A"/>
    <w:rsid w:val="001516A3"/>
    <w:rsid w:val="00152387"/>
    <w:rsid w:val="00153B42"/>
    <w:rsid w:val="0016174F"/>
    <w:rsid w:val="001619D7"/>
    <w:rsid w:val="00162A12"/>
    <w:rsid w:val="00166530"/>
    <w:rsid w:val="001724FD"/>
    <w:rsid w:val="001832BD"/>
    <w:rsid w:val="00186DBF"/>
    <w:rsid w:val="00191216"/>
    <w:rsid w:val="001943B5"/>
    <w:rsid w:val="00195134"/>
    <w:rsid w:val="001A145B"/>
    <w:rsid w:val="001A26DB"/>
    <w:rsid w:val="001A3EF2"/>
    <w:rsid w:val="001A674C"/>
    <w:rsid w:val="001B3B24"/>
    <w:rsid w:val="001B7851"/>
    <w:rsid w:val="001B7D1E"/>
    <w:rsid w:val="001C0F98"/>
    <w:rsid w:val="001C2A42"/>
    <w:rsid w:val="001C41FA"/>
    <w:rsid w:val="001D4827"/>
    <w:rsid w:val="001D63ED"/>
    <w:rsid w:val="001D7348"/>
    <w:rsid w:val="001D77B7"/>
    <w:rsid w:val="001E035B"/>
    <w:rsid w:val="001E0961"/>
    <w:rsid w:val="001E0B6D"/>
    <w:rsid w:val="001E199F"/>
    <w:rsid w:val="001E2374"/>
    <w:rsid w:val="001E3EAE"/>
    <w:rsid w:val="001E5D4E"/>
    <w:rsid w:val="001E6F32"/>
    <w:rsid w:val="001F2145"/>
    <w:rsid w:val="001F281E"/>
    <w:rsid w:val="001F48D9"/>
    <w:rsid w:val="001F4E43"/>
    <w:rsid w:val="001F6262"/>
    <w:rsid w:val="001F67B0"/>
    <w:rsid w:val="001F7B3D"/>
    <w:rsid w:val="00205F9F"/>
    <w:rsid w:val="002070E9"/>
    <w:rsid w:val="00210338"/>
    <w:rsid w:val="002115FC"/>
    <w:rsid w:val="0021423C"/>
    <w:rsid w:val="00230D00"/>
    <w:rsid w:val="00231DF7"/>
    <w:rsid w:val="00231FD1"/>
    <w:rsid w:val="002339E0"/>
    <w:rsid w:val="00233CF8"/>
    <w:rsid w:val="00235013"/>
    <w:rsid w:val="0023575D"/>
    <w:rsid w:val="00237148"/>
    <w:rsid w:val="0024222D"/>
    <w:rsid w:val="00243432"/>
    <w:rsid w:val="00244B0E"/>
    <w:rsid w:val="00244F6C"/>
    <w:rsid w:val="00246ABB"/>
    <w:rsid w:val="0025168A"/>
    <w:rsid w:val="002532C5"/>
    <w:rsid w:val="00260C03"/>
    <w:rsid w:val="0026540E"/>
    <w:rsid w:val="002678B5"/>
    <w:rsid w:val="00275123"/>
    <w:rsid w:val="00282240"/>
    <w:rsid w:val="00291379"/>
    <w:rsid w:val="00292518"/>
    <w:rsid w:val="002948AD"/>
    <w:rsid w:val="002A01CC"/>
    <w:rsid w:val="002A61B1"/>
    <w:rsid w:val="002A663C"/>
    <w:rsid w:val="002A67FE"/>
    <w:rsid w:val="002B444B"/>
    <w:rsid w:val="002B5887"/>
    <w:rsid w:val="002C0E27"/>
    <w:rsid w:val="002C17C7"/>
    <w:rsid w:val="002C3040"/>
    <w:rsid w:val="002C3D15"/>
    <w:rsid w:val="002C41E7"/>
    <w:rsid w:val="002D022D"/>
    <w:rsid w:val="002D23B6"/>
    <w:rsid w:val="002D24BB"/>
    <w:rsid w:val="002D2E7C"/>
    <w:rsid w:val="002E02CB"/>
    <w:rsid w:val="002F03D8"/>
    <w:rsid w:val="002F2AF7"/>
    <w:rsid w:val="002F3E21"/>
    <w:rsid w:val="002F7E1C"/>
    <w:rsid w:val="00301A75"/>
    <w:rsid w:val="00302F70"/>
    <w:rsid w:val="0030336F"/>
    <w:rsid w:val="0030375E"/>
    <w:rsid w:val="00307A3A"/>
    <w:rsid w:val="00312A30"/>
    <w:rsid w:val="00314B2C"/>
    <w:rsid w:val="003175BA"/>
    <w:rsid w:val="00320F72"/>
    <w:rsid w:val="003216AB"/>
    <w:rsid w:val="0032463E"/>
    <w:rsid w:val="003252F0"/>
    <w:rsid w:val="00326224"/>
    <w:rsid w:val="00327C4E"/>
    <w:rsid w:val="0033146B"/>
    <w:rsid w:val="00335749"/>
    <w:rsid w:val="00337EE4"/>
    <w:rsid w:val="00340635"/>
    <w:rsid w:val="00340FFD"/>
    <w:rsid w:val="00343435"/>
    <w:rsid w:val="00347339"/>
    <w:rsid w:val="0035043B"/>
    <w:rsid w:val="003506B1"/>
    <w:rsid w:val="00354F8C"/>
    <w:rsid w:val="003556C0"/>
    <w:rsid w:val="00356AC7"/>
    <w:rsid w:val="00360179"/>
    <w:rsid w:val="003609FA"/>
    <w:rsid w:val="0036399B"/>
    <w:rsid w:val="00367DD1"/>
    <w:rsid w:val="003710C8"/>
    <w:rsid w:val="003750BE"/>
    <w:rsid w:val="00376820"/>
    <w:rsid w:val="00377AC7"/>
    <w:rsid w:val="00387B9D"/>
    <w:rsid w:val="0039364F"/>
    <w:rsid w:val="00394874"/>
    <w:rsid w:val="00396686"/>
    <w:rsid w:val="0039778E"/>
    <w:rsid w:val="00397F93"/>
    <w:rsid w:val="003A5253"/>
    <w:rsid w:val="003B25C6"/>
    <w:rsid w:val="003B2814"/>
    <w:rsid w:val="003B3629"/>
    <w:rsid w:val="003B4941"/>
    <w:rsid w:val="003B5255"/>
    <w:rsid w:val="003B5668"/>
    <w:rsid w:val="003C249B"/>
    <w:rsid w:val="003C5714"/>
    <w:rsid w:val="003C6B9F"/>
    <w:rsid w:val="003C6E2A"/>
    <w:rsid w:val="003D0299"/>
    <w:rsid w:val="003E61D1"/>
    <w:rsid w:val="003E6D80"/>
    <w:rsid w:val="003F05FA"/>
    <w:rsid w:val="003F0965"/>
    <w:rsid w:val="003F244A"/>
    <w:rsid w:val="003F2B49"/>
    <w:rsid w:val="003F30B8"/>
    <w:rsid w:val="003F33AC"/>
    <w:rsid w:val="003F4C45"/>
    <w:rsid w:val="003F531D"/>
    <w:rsid w:val="003F5F7B"/>
    <w:rsid w:val="003F7D64"/>
    <w:rsid w:val="004035ED"/>
    <w:rsid w:val="00405F5E"/>
    <w:rsid w:val="00413698"/>
    <w:rsid w:val="00414300"/>
    <w:rsid w:val="004147EA"/>
    <w:rsid w:val="00425C67"/>
    <w:rsid w:val="00427E7A"/>
    <w:rsid w:val="00432F36"/>
    <w:rsid w:val="00434EC4"/>
    <w:rsid w:val="00436C49"/>
    <w:rsid w:val="00440251"/>
    <w:rsid w:val="00440CB7"/>
    <w:rsid w:val="00443613"/>
    <w:rsid w:val="00444D28"/>
    <w:rsid w:val="004450BE"/>
    <w:rsid w:val="00445366"/>
    <w:rsid w:val="004466C0"/>
    <w:rsid w:val="00447F5B"/>
    <w:rsid w:val="0045067D"/>
    <w:rsid w:val="004523D7"/>
    <w:rsid w:val="004617B8"/>
    <w:rsid w:val="00461DB0"/>
    <w:rsid w:val="00463926"/>
    <w:rsid w:val="00464C9A"/>
    <w:rsid w:val="004724AB"/>
    <w:rsid w:val="004741F5"/>
    <w:rsid w:val="00474A2D"/>
    <w:rsid w:val="00474F3D"/>
    <w:rsid w:val="004763E8"/>
    <w:rsid w:val="00477E3A"/>
    <w:rsid w:val="00482DDE"/>
    <w:rsid w:val="00483E5F"/>
    <w:rsid w:val="00485FF9"/>
    <w:rsid w:val="004871C4"/>
    <w:rsid w:val="004902F7"/>
    <w:rsid w:val="004907F0"/>
    <w:rsid w:val="0049140B"/>
    <w:rsid w:val="004923A5"/>
    <w:rsid w:val="00494099"/>
    <w:rsid w:val="00494A72"/>
    <w:rsid w:val="00496BFB"/>
    <w:rsid w:val="004A12DD"/>
    <w:rsid w:val="004A15C7"/>
    <w:rsid w:val="004A4062"/>
    <w:rsid w:val="004B013B"/>
    <w:rsid w:val="004B112B"/>
    <w:rsid w:val="004C01E4"/>
    <w:rsid w:val="004C086C"/>
    <w:rsid w:val="004C1F56"/>
    <w:rsid w:val="004C27BC"/>
    <w:rsid w:val="004D145F"/>
    <w:rsid w:val="004D15F3"/>
    <w:rsid w:val="004D317B"/>
    <w:rsid w:val="004D5311"/>
    <w:rsid w:val="004D5DCC"/>
    <w:rsid w:val="004D6ED0"/>
    <w:rsid w:val="004E4AF4"/>
    <w:rsid w:val="004F10AF"/>
    <w:rsid w:val="004F11A4"/>
    <w:rsid w:val="004F2389"/>
    <w:rsid w:val="004F2979"/>
    <w:rsid w:val="004F304D"/>
    <w:rsid w:val="004F4833"/>
    <w:rsid w:val="004F61BE"/>
    <w:rsid w:val="004F66B1"/>
    <w:rsid w:val="005029CE"/>
    <w:rsid w:val="00503F13"/>
    <w:rsid w:val="00511C07"/>
    <w:rsid w:val="005173A6"/>
    <w:rsid w:val="005204EC"/>
    <w:rsid w:val="00520BAA"/>
    <w:rsid w:val="005251FD"/>
    <w:rsid w:val="00525208"/>
    <w:rsid w:val="005257A5"/>
    <w:rsid w:val="005264C0"/>
    <w:rsid w:val="00526A8A"/>
    <w:rsid w:val="00527B46"/>
    <w:rsid w:val="00531DF2"/>
    <w:rsid w:val="00542490"/>
    <w:rsid w:val="005442EE"/>
    <w:rsid w:val="00547353"/>
    <w:rsid w:val="005474E7"/>
    <w:rsid w:val="0055003B"/>
    <w:rsid w:val="005512A3"/>
    <w:rsid w:val="00554BA1"/>
    <w:rsid w:val="005578CE"/>
    <w:rsid w:val="00562781"/>
    <w:rsid w:val="005639F7"/>
    <w:rsid w:val="0057271C"/>
    <w:rsid w:val="00572845"/>
    <w:rsid w:val="00574C83"/>
    <w:rsid w:val="00592772"/>
    <w:rsid w:val="0059574A"/>
    <w:rsid w:val="00595C32"/>
    <w:rsid w:val="00596468"/>
    <w:rsid w:val="005A02CB"/>
    <w:rsid w:val="005A1B9B"/>
    <w:rsid w:val="005A5552"/>
    <w:rsid w:val="005A6751"/>
    <w:rsid w:val="005B092E"/>
    <w:rsid w:val="005B152C"/>
    <w:rsid w:val="005B1EE0"/>
    <w:rsid w:val="005B24AE"/>
    <w:rsid w:val="005B2B24"/>
    <w:rsid w:val="005B2D74"/>
    <w:rsid w:val="005B4425"/>
    <w:rsid w:val="005B4B94"/>
    <w:rsid w:val="005C3EE8"/>
    <w:rsid w:val="005C7817"/>
    <w:rsid w:val="005D34F9"/>
    <w:rsid w:val="005D4190"/>
    <w:rsid w:val="005D5EBF"/>
    <w:rsid w:val="005D67A3"/>
    <w:rsid w:val="005D6FA6"/>
    <w:rsid w:val="005E0E41"/>
    <w:rsid w:val="005E2988"/>
    <w:rsid w:val="005E3085"/>
    <w:rsid w:val="005E3331"/>
    <w:rsid w:val="005E3412"/>
    <w:rsid w:val="005E37C6"/>
    <w:rsid w:val="005F4E85"/>
    <w:rsid w:val="005F51E1"/>
    <w:rsid w:val="00602273"/>
    <w:rsid w:val="00606A17"/>
    <w:rsid w:val="00611C80"/>
    <w:rsid w:val="00614C7D"/>
    <w:rsid w:val="00615CAA"/>
    <w:rsid w:val="00616F39"/>
    <w:rsid w:val="00617E0D"/>
    <w:rsid w:val="00620692"/>
    <w:rsid w:val="006229EA"/>
    <w:rsid w:val="006242CA"/>
    <w:rsid w:val="00624E72"/>
    <w:rsid w:val="00627507"/>
    <w:rsid w:val="00627A43"/>
    <w:rsid w:val="00633717"/>
    <w:rsid w:val="006344E1"/>
    <w:rsid w:val="006427BE"/>
    <w:rsid w:val="00642E46"/>
    <w:rsid w:val="006431E8"/>
    <w:rsid w:val="00645456"/>
    <w:rsid w:val="00646454"/>
    <w:rsid w:val="0065298D"/>
    <w:rsid w:val="006545C4"/>
    <w:rsid w:val="006602CE"/>
    <w:rsid w:val="00660687"/>
    <w:rsid w:val="00660F87"/>
    <w:rsid w:val="00661971"/>
    <w:rsid w:val="00661CE8"/>
    <w:rsid w:val="006623D9"/>
    <w:rsid w:val="00664FB3"/>
    <w:rsid w:val="0066550C"/>
    <w:rsid w:val="00667B26"/>
    <w:rsid w:val="00667EFE"/>
    <w:rsid w:val="006716F2"/>
    <w:rsid w:val="00676D82"/>
    <w:rsid w:val="0068072E"/>
    <w:rsid w:val="00682BF2"/>
    <w:rsid w:val="00682DE0"/>
    <w:rsid w:val="006859CE"/>
    <w:rsid w:val="00691270"/>
    <w:rsid w:val="0069357D"/>
    <w:rsid w:val="006945A3"/>
    <w:rsid w:val="00694A2E"/>
    <w:rsid w:val="00694BA8"/>
    <w:rsid w:val="006A037C"/>
    <w:rsid w:val="006A36F4"/>
    <w:rsid w:val="006A406F"/>
    <w:rsid w:val="006A5D3A"/>
    <w:rsid w:val="006B0090"/>
    <w:rsid w:val="006B1748"/>
    <w:rsid w:val="006B4561"/>
    <w:rsid w:val="006B529C"/>
    <w:rsid w:val="006C1BCB"/>
    <w:rsid w:val="006C23D4"/>
    <w:rsid w:val="006C2EDA"/>
    <w:rsid w:val="006C4A8E"/>
    <w:rsid w:val="006C64BE"/>
    <w:rsid w:val="006C7BB0"/>
    <w:rsid w:val="006D10F0"/>
    <w:rsid w:val="006D1ECA"/>
    <w:rsid w:val="006D3237"/>
    <w:rsid w:val="006E295F"/>
    <w:rsid w:val="006E2CA2"/>
    <w:rsid w:val="006E2E37"/>
    <w:rsid w:val="006E2F2E"/>
    <w:rsid w:val="006E3CF1"/>
    <w:rsid w:val="006E7E80"/>
    <w:rsid w:val="006F27FB"/>
    <w:rsid w:val="006F48CA"/>
    <w:rsid w:val="006F64DD"/>
    <w:rsid w:val="006F6FE5"/>
    <w:rsid w:val="00702D28"/>
    <w:rsid w:val="00703267"/>
    <w:rsid w:val="00705F7A"/>
    <w:rsid w:val="00711B9F"/>
    <w:rsid w:val="00712672"/>
    <w:rsid w:val="00714523"/>
    <w:rsid w:val="00715127"/>
    <w:rsid w:val="00715E8E"/>
    <w:rsid w:val="0071678C"/>
    <w:rsid w:val="00717391"/>
    <w:rsid w:val="00723580"/>
    <w:rsid w:val="00723755"/>
    <w:rsid w:val="0072658F"/>
    <w:rsid w:val="00730B5D"/>
    <w:rsid w:val="0073136C"/>
    <w:rsid w:val="00731F0F"/>
    <w:rsid w:val="00733250"/>
    <w:rsid w:val="00741404"/>
    <w:rsid w:val="007449E5"/>
    <w:rsid w:val="00746A9E"/>
    <w:rsid w:val="00747196"/>
    <w:rsid w:val="00747FF0"/>
    <w:rsid w:val="007513B3"/>
    <w:rsid w:val="00752994"/>
    <w:rsid w:val="00760F4E"/>
    <w:rsid w:val="00764592"/>
    <w:rsid w:val="00764D4E"/>
    <w:rsid w:val="00765A1F"/>
    <w:rsid w:val="00770C91"/>
    <w:rsid w:val="00775B6D"/>
    <w:rsid w:val="00775EA1"/>
    <w:rsid w:val="00776D68"/>
    <w:rsid w:val="007772C4"/>
    <w:rsid w:val="00777CB6"/>
    <w:rsid w:val="007813BD"/>
    <w:rsid w:val="00782FCD"/>
    <w:rsid w:val="0078417D"/>
    <w:rsid w:val="007850EE"/>
    <w:rsid w:val="00785B95"/>
    <w:rsid w:val="00786B37"/>
    <w:rsid w:val="007900F9"/>
    <w:rsid w:val="00790E96"/>
    <w:rsid w:val="00793366"/>
    <w:rsid w:val="007952DA"/>
    <w:rsid w:val="007A4A6A"/>
    <w:rsid w:val="007A716F"/>
    <w:rsid w:val="007B270A"/>
    <w:rsid w:val="007B4B56"/>
    <w:rsid w:val="007B6813"/>
    <w:rsid w:val="007C0695"/>
    <w:rsid w:val="007C1848"/>
    <w:rsid w:val="007C419A"/>
    <w:rsid w:val="007C4CC8"/>
    <w:rsid w:val="007C5300"/>
    <w:rsid w:val="007C5426"/>
    <w:rsid w:val="007C5798"/>
    <w:rsid w:val="007C67EB"/>
    <w:rsid w:val="007D4832"/>
    <w:rsid w:val="007D5AAA"/>
    <w:rsid w:val="007D6D21"/>
    <w:rsid w:val="007E21B2"/>
    <w:rsid w:val="007E2C4E"/>
    <w:rsid w:val="007E3ED4"/>
    <w:rsid w:val="007E48C2"/>
    <w:rsid w:val="007E5FBE"/>
    <w:rsid w:val="007E75C8"/>
    <w:rsid w:val="007F13E5"/>
    <w:rsid w:val="007F1905"/>
    <w:rsid w:val="007F4F51"/>
    <w:rsid w:val="00801300"/>
    <w:rsid w:val="00802C64"/>
    <w:rsid w:val="00805E52"/>
    <w:rsid w:val="008061D0"/>
    <w:rsid w:val="00810B38"/>
    <w:rsid w:val="008204C7"/>
    <w:rsid w:val="00820992"/>
    <w:rsid w:val="00823602"/>
    <w:rsid w:val="00824559"/>
    <w:rsid w:val="008245AB"/>
    <w:rsid w:val="008255F5"/>
    <w:rsid w:val="0083014E"/>
    <w:rsid w:val="0083214A"/>
    <w:rsid w:val="008323C4"/>
    <w:rsid w:val="00834220"/>
    <w:rsid w:val="00836152"/>
    <w:rsid w:val="00836A13"/>
    <w:rsid w:val="0084351A"/>
    <w:rsid w:val="00845723"/>
    <w:rsid w:val="008468B3"/>
    <w:rsid w:val="008477E8"/>
    <w:rsid w:val="00850AC1"/>
    <w:rsid w:val="00851EF9"/>
    <w:rsid w:val="008577FD"/>
    <w:rsid w:val="00860B03"/>
    <w:rsid w:val="0086497A"/>
    <w:rsid w:val="008651C4"/>
    <w:rsid w:val="00866395"/>
    <w:rsid w:val="008713A1"/>
    <w:rsid w:val="008725AD"/>
    <w:rsid w:val="00873B01"/>
    <w:rsid w:val="008754AB"/>
    <w:rsid w:val="00875AB3"/>
    <w:rsid w:val="0088060C"/>
    <w:rsid w:val="00880ECD"/>
    <w:rsid w:val="008851E6"/>
    <w:rsid w:val="008873C5"/>
    <w:rsid w:val="00893576"/>
    <w:rsid w:val="00893E73"/>
    <w:rsid w:val="008A1B52"/>
    <w:rsid w:val="008B02DC"/>
    <w:rsid w:val="008B2FBF"/>
    <w:rsid w:val="008B57CE"/>
    <w:rsid w:val="008B7266"/>
    <w:rsid w:val="008B73BF"/>
    <w:rsid w:val="008B74DA"/>
    <w:rsid w:val="008C26DE"/>
    <w:rsid w:val="008D2225"/>
    <w:rsid w:val="008D4752"/>
    <w:rsid w:val="008D7298"/>
    <w:rsid w:val="008E271C"/>
    <w:rsid w:val="008E418E"/>
    <w:rsid w:val="008E4673"/>
    <w:rsid w:val="008E5BC6"/>
    <w:rsid w:val="008E6A25"/>
    <w:rsid w:val="008F402E"/>
    <w:rsid w:val="008F4AF6"/>
    <w:rsid w:val="008F5193"/>
    <w:rsid w:val="009013A7"/>
    <w:rsid w:val="009017FB"/>
    <w:rsid w:val="009017FC"/>
    <w:rsid w:val="009031C6"/>
    <w:rsid w:val="0090506B"/>
    <w:rsid w:val="009050C9"/>
    <w:rsid w:val="009066FC"/>
    <w:rsid w:val="009119DD"/>
    <w:rsid w:val="00912AF8"/>
    <w:rsid w:val="009140A3"/>
    <w:rsid w:val="009144A2"/>
    <w:rsid w:val="0091510C"/>
    <w:rsid w:val="00915286"/>
    <w:rsid w:val="00916BE7"/>
    <w:rsid w:val="009247BD"/>
    <w:rsid w:val="00924A3A"/>
    <w:rsid w:val="009259AC"/>
    <w:rsid w:val="00926AD5"/>
    <w:rsid w:val="00926F38"/>
    <w:rsid w:val="00934301"/>
    <w:rsid w:val="00936C2D"/>
    <w:rsid w:val="00936CD1"/>
    <w:rsid w:val="00940E0D"/>
    <w:rsid w:val="00941058"/>
    <w:rsid w:val="00941747"/>
    <w:rsid w:val="00941EFB"/>
    <w:rsid w:val="00944111"/>
    <w:rsid w:val="00947AFB"/>
    <w:rsid w:val="00950EF6"/>
    <w:rsid w:val="00951D7D"/>
    <w:rsid w:val="009630C7"/>
    <w:rsid w:val="009677B6"/>
    <w:rsid w:val="00971BD6"/>
    <w:rsid w:val="00972B55"/>
    <w:rsid w:val="009737D6"/>
    <w:rsid w:val="009743B7"/>
    <w:rsid w:val="009776A2"/>
    <w:rsid w:val="0098228B"/>
    <w:rsid w:val="00982295"/>
    <w:rsid w:val="009828DA"/>
    <w:rsid w:val="00985BAB"/>
    <w:rsid w:val="00997935"/>
    <w:rsid w:val="009A0043"/>
    <w:rsid w:val="009B1B5F"/>
    <w:rsid w:val="009B6673"/>
    <w:rsid w:val="009C191B"/>
    <w:rsid w:val="009C1F1B"/>
    <w:rsid w:val="009C2BD6"/>
    <w:rsid w:val="009C347B"/>
    <w:rsid w:val="009C3F4F"/>
    <w:rsid w:val="009C5881"/>
    <w:rsid w:val="009C67C0"/>
    <w:rsid w:val="009D16B0"/>
    <w:rsid w:val="009D1A6A"/>
    <w:rsid w:val="009D2931"/>
    <w:rsid w:val="009D6D74"/>
    <w:rsid w:val="009E1F32"/>
    <w:rsid w:val="009E375E"/>
    <w:rsid w:val="009E5328"/>
    <w:rsid w:val="009E776C"/>
    <w:rsid w:val="009E79BA"/>
    <w:rsid w:val="009F5498"/>
    <w:rsid w:val="009F7082"/>
    <w:rsid w:val="00A00144"/>
    <w:rsid w:val="00A15FD8"/>
    <w:rsid w:val="00A16887"/>
    <w:rsid w:val="00A1726E"/>
    <w:rsid w:val="00A204CF"/>
    <w:rsid w:val="00A207CF"/>
    <w:rsid w:val="00A23D49"/>
    <w:rsid w:val="00A27004"/>
    <w:rsid w:val="00A30C29"/>
    <w:rsid w:val="00A31344"/>
    <w:rsid w:val="00A31916"/>
    <w:rsid w:val="00A34DD6"/>
    <w:rsid w:val="00A36819"/>
    <w:rsid w:val="00A36989"/>
    <w:rsid w:val="00A4234F"/>
    <w:rsid w:val="00A43308"/>
    <w:rsid w:val="00A43628"/>
    <w:rsid w:val="00A43B4B"/>
    <w:rsid w:val="00A52328"/>
    <w:rsid w:val="00A54192"/>
    <w:rsid w:val="00A57554"/>
    <w:rsid w:val="00A576D6"/>
    <w:rsid w:val="00A6035E"/>
    <w:rsid w:val="00A6087C"/>
    <w:rsid w:val="00A6144C"/>
    <w:rsid w:val="00A62942"/>
    <w:rsid w:val="00A66617"/>
    <w:rsid w:val="00A671F8"/>
    <w:rsid w:val="00A673A4"/>
    <w:rsid w:val="00A67531"/>
    <w:rsid w:val="00A70075"/>
    <w:rsid w:val="00A724AE"/>
    <w:rsid w:val="00A73329"/>
    <w:rsid w:val="00A74BC1"/>
    <w:rsid w:val="00A779F8"/>
    <w:rsid w:val="00A82359"/>
    <w:rsid w:val="00A83D85"/>
    <w:rsid w:val="00A84869"/>
    <w:rsid w:val="00A84A96"/>
    <w:rsid w:val="00A865D2"/>
    <w:rsid w:val="00A92610"/>
    <w:rsid w:val="00A94C20"/>
    <w:rsid w:val="00AA227F"/>
    <w:rsid w:val="00AA3BC7"/>
    <w:rsid w:val="00AA754A"/>
    <w:rsid w:val="00AA755B"/>
    <w:rsid w:val="00AB099E"/>
    <w:rsid w:val="00AB4328"/>
    <w:rsid w:val="00AB71BE"/>
    <w:rsid w:val="00AC0824"/>
    <w:rsid w:val="00AC31A6"/>
    <w:rsid w:val="00AC4EBF"/>
    <w:rsid w:val="00AC5143"/>
    <w:rsid w:val="00AC7B68"/>
    <w:rsid w:val="00AD0631"/>
    <w:rsid w:val="00AD412E"/>
    <w:rsid w:val="00AE0A2E"/>
    <w:rsid w:val="00AE0FFF"/>
    <w:rsid w:val="00AE148B"/>
    <w:rsid w:val="00AE1FED"/>
    <w:rsid w:val="00AE354C"/>
    <w:rsid w:val="00AE3780"/>
    <w:rsid w:val="00AF0579"/>
    <w:rsid w:val="00AF2914"/>
    <w:rsid w:val="00AF2A5C"/>
    <w:rsid w:val="00AF4B07"/>
    <w:rsid w:val="00AF51F0"/>
    <w:rsid w:val="00AF5387"/>
    <w:rsid w:val="00AF5CC8"/>
    <w:rsid w:val="00AF6186"/>
    <w:rsid w:val="00AF795D"/>
    <w:rsid w:val="00AF7A3A"/>
    <w:rsid w:val="00B006EB"/>
    <w:rsid w:val="00B102E6"/>
    <w:rsid w:val="00B160DB"/>
    <w:rsid w:val="00B20836"/>
    <w:rsid w:val="00B22DFB"/>
    <w:rsid w:val="00B235BB"/>
    <w:rsid w:val="00B27A44"/>
    <w:rsid w:val="00B30BBF"/>
    <w:rsid w:val="00B332AD"/>
    <w:rsid w:val="00B33C03"/>
    <w:rsid w:val="00B37593"/>
    <w:rsid w:val="00B37F2D"/>
    <w:rsid w:val="00B40187"/>
    <w:rsid w:val="00B402C1"/>
    <w:rsid w:val="00B43662"/>
    <w:rsid w:val="00B44E56"/>
    <w:rsid w:val="00B46543"/>
    <w:rsid w:val="00B47D33"/>
    <w:rsid w:val="00B47E36"/>
    <w:rsid w:val="00B517E4"/>
    <w:rsid w:val="00B52BE0"/>
    <w:rsid w:val="00B54133"/>
    <w:rsid w:val="00B5457F"/>
    <w:rsid w:val="00B56C55"/>
    <w:rsid w:val="00B701ED"/>
    <w:rsid w:val="00B71A1D"/>
    <w:rsid w:val="00B757BA"/>
    <w:rsid w:val="00B8086C"/>
    <w:rsid w:val="00B84371"/>
    <w:rsid w:val="00B85850"/>
    <w:rsid w:val="00B85A04"/>
    <w:rsid w:val="00B861B4"/>
    <w:rsid w:val="00B86DFE"/>
    <w:rsid w:val="00B90990"/>
    <w:rsid w:val="00B91D0D"/>
    <w:rsid w:val="00B922FF"/>
    <w:rsid w:val="00B9281E"/>
    <w:rsid w:val="00B93925"/>
    <w:rsid w:val="00B93ECF"/>
    <w:rsid w:val="00B94BB8"/>
    <w:rsid w:val="00B95187"/>
    <w:rsid w:val="00B96CB5"/>
    <w:rsid w:val="00B9776F"/>
    <w:rsid w:val="00BA2D55"/>
    <w:rsid w:val="00BA71B1"/>
    <w:rsid w:val="00BB0637"/>
    <w:rsid w:val="00BB2447"/>
    <w:rsid w:val="00BB345F"/>
    <w:rsid w:val="00BB68EA"/>
    <w:rsid w:val="00BC1432"/>
    <w:rsid w:val="00BC1C27"/>
    <w:rsid w:val="00BC47F6"/>
    <w:rsid w:val="00BC4A8F"/>
    <w:rsid w:val="00BC6BBF"/>
    <w:rsid w:val="00BD0653"/>
    <w:rsid w:val="00BD0817"/>
    <w:rsid w:val="00BD1572"/>
    <w:rsid w:val="00BE14E3"/>
    <w:rsid w:val="00BE1A3E"/>
    <w:rsid w:val="00BE1B25"/>
    <w:rsid w:val="00BE3774"/>
    <w:rsid w:val="00BE41E5"/>
    <w:rsid w:val="00BE5DA3"/>
    <w:rsid w:val="00BE7E6F"/>
    <w:rsid w:val="00BF287B"/>
    <w:rsid w:val="00BF3737"/>
    <w:rsid w:val="00BF4109"/>
    <w:rsid w:val="00BF47D9"/>
    <w:rsid w:val="00BF4CC3"/>
    <w:rsid w:val="00C054C7"/>
    <w:rsid w:val="00C057B5"/>
    <w:rsid w:val="00C06E15"/>
    <w:rsid w:val="00C1262B"/>
    <w:rsid w:val="00C144F7"/>
    <w:rsid w:val="00C22687"/>
    <w:rsid w:val="00C24185"/>
    <w:rsid w:val="00C24420"/>
    <w:rsid w:val="00C2731A"/>
    <w:rsid w:val="00C32E4D"/>
    <w:rsid w:val="00C333A0"/>
    <w:rsid w:val="00C36339"/>
    <w:rsid w:val="00C36408"/>
    <w:rsid w:val="00C36A81"/>
    <w:rsid w:val="00C41974"/>
    <w:rsid w:val="00C424D6"/>
    <w:rsid w:val="00C53F4A"/>
    <w:rsid w:val="00C54125"/>
    <w:rsid w:val="00C55B54"/>
    <w:rsid w:val="00C60420"/>
    <w:rsid w:val="00C6098E"/>
    <w:rsid w:val="00C611D8"/>
    <w:rsid w:val="00C6152C"/>
    <w:rsid w:val="00C63990"/>
    <w:rsid w:val="00C64EF6"/>
    <w:rsid w:val="00C65050"/>
    <w:rsid w:val="00C67BA6"/>
    <w:rsid w:val="00C711EA"/>
    <w:rsid w:val="00C72CA7"/>
    <w:rsid w:val="00C74810"/>
    <w:rsid w:val="00C7548F"/>
    <w:rsid w:val="00C8445A"/>
    <w:rsid w:val="00C90D68"/>
    <w:rsid w:val="00C91601"/>
    <w:rsid w:val="00C930BD"/>
    <w:rsid w:val="00C939FE"/>
    <w:rsid w:val="00C9723E"/>
    <w:rsid w:val="00CA3FC0"/>
    <w:rsid w:val="00CA4BDA"/>
    <w:rsid w:val="00CA5310"/>
    <w:rsid w:val="00CA64A5"/>
    <w:rsid w:val="00CB1F66"/>
    <w:rsid w:val="00CB2951"/>
    <w:rsid w:val="00CB3633"/>
    <w:rsid w:val="00CB451A"/>
    <w:rsid w:val="00CB678F"/>
    <w:rsid w:val="00CC0416"/>
    <w:rsid w:val="00CC0A99"/>
    <w:rsid w:val="00CC278E"/>
    <w:rsid w:val="00CC3FE5"/>
    <w:rsid w:val="00CC71E6"/>
    <w:rsid w:val="00CD05FB"/>
    <w:rsid w:val="00CD16F8"/>
    <w:rsid w:val="00CD282B"/>
    <w:rsid w:val="00CD4C35"/>
    <w:rsid w:val="00CD5BEE"/>
    <w:rsid w:val="00CD7369"/>
    <w:rsid w:val="00CE0B0E"/>
    <w:rsid w:val="00CE3831"/>
    <w:rsid w:val="00CE43FB"/>
    <w:rsid w:val="00CF259F"/>
    <w:rsid w:val="00D000FA"/>
    <w:rsid w:val="00D0084F"/>
    <w:rsid w:val="00D00ABB"/>
    <w:rsid w:val="00D02D8C"/>
    <w:rsid w:val="00D02EEC"/>
    <w:rsid w:val="00D03551"/>
    <w:rsid w:val="00D03D07"/>
    <w:rsid w:val="00D04830"/>
    <w:rsid w:val="00D050BB"/>
    <w:rsid w:val="00D06A63"/>
    <w:rsid w:val="00D07E0E"/>
    <w:rsid w:val="00D11478"/>
    <w:rsid w:val="00D155CF"/>
    <w:rsid w:val="00D15ED0"/>
    <w:rsid w:val="00D20B65"/>
    <w:rsid w:val="00D21185"/>
    <w:rsid w:val="00D21386"/>
    <w:rsid w:val="00D21B3E"/>
    <w:rsid w:val="00D21FED"/>
    <w:rsid w:val="00D24251"/>
    <w:rsid w:val="00D250D7"/>
    <w:rsid w:val="00D343E2"/>
    <w:rsid w:val="00D361A2"/>
    <w:rsid w:val="00D368A0"/>
    <w:rsid w:val="00D37C1F"/>
    <w:rsid w:val="00D40063"/>
    <w:rsid w:val="00D42AFF"/>
    <w:rsid w:val="00D44C2E"/>
    <w:rsid w:val="00D45414"/>
    <w:rsid w:val="00D46907"/>
    <w:rsid w:val="00D566BD"/>
    <w:rsid w:val="00D576CF"/>
    <w:rsid w:val="00D57A4D"/>
    <w:rsid w:val="00D60AA7"/>
    <w:rsid w:val="00D6435F"/>
    <w:rsid w:val="00D7428E"/>
    <w:rsid w:val="00D75E28"/>
    <w:rsid w:val="00D772C2"/>
    <w:rsid w:val="00D8008E"/>
    <w:rsid w:val="00D82C45"/>
    <w:rsid w:val="00D84A19"/>
    <w:rsid w:val="00D908A8"/>
    <w:rsid w:val="00D977B6"/>
    <w:rsid w:val="00DA4A31"/>
    <w:rsid w:val="00DA56A9"/>
    <w:rsid w:val="00DA7B04"/>
    <w:rsid w:val="00DB0D6E"/>
    <w:rsid w:val="00DB36C2"/>
    <w:rsid w:val="00DB4826"/>
    <w:rsid w:val="00DB6FDA"/>
    <w:rsid w:val="00DC169B"/>
    <w:rsid w:val="00DC2642"/>
    <w:rsid w:val="00DC2AB9"/>
    <w:rsid w:val="00DC4C7D"/>
    <w:rsid w:val="00DC63F0"/>
    <w:rsid w:val="00DC69C2"/>
    <w:rsid w:val="00DD0826"/>
    <w:rsid w:val="00DD4AAB"/>
    <w:rsid w:val="00DD5146"/>
    <w:rsid w:val="00DD6EE5"/>
    <w:rsid w:val="00DE0F2C"/>
    <w:rsid w:val="00DE2563"/>
    <w:rsid w:val="00DE386C"/>
    <w:rsid w:val="00DE4D35"/>
    <w:rsid w:val="00DE572F"/>
    <w:rsid w:val="00DF098B"/>
    <w:rsid w:val="00DF11C4"/>
    <w:rsid w:val="00DF210C"/>
    <w:rsid w:val="00DF4B6A"/>
    <w:rsid w:val="00DF55BE"/>
    <w:rsid w:val="00DF57DE"/>
    <w:rsid w:val="00E00E81"/>
    <w:rsid w:val="00E01E65"/>
    <w:rsid w:val="00E02C09"/>
    <w:rsid w:val="00E04D59"/>
    <w:rsid w:val="00E07DA1"/>
    <w:rsid w:val="00E123CB"/>
    <w:rsid w:val="00E137D3"/>
    <w:rsid w:val="00E16750"/>
    <w:rsid w:val="00E177B5"/>
    <w:rsid w:val="00E20E13"/>
    <w:rsid w:val="00E21DBC"/>
    <w:rsid w:val="00E225C4"/>
    <w:rsid w:val="00E275D7"/>
    <w:rsid w:val="00E27DBE"/>
    <w:rsid w:val="00E31471"/>
    <w:rsid w:val="00E32179"/>
    <w:rsid w:val="00E32AB1"/>
    <w:rsid w:val="00E34C0A"/>
    <w:rsid w:val="00E36C71"/>
    <w:rsid w:val="00E373F5"/>
    <w:rsid w:val="00E3760A"/>
    <w:rsid w:val="00E40404"/>
    <w:rsid w:val="00E40595"/>
    <w:rsid w:val="00E40D1E"/>
    <w:rsid w:val="00E4529A"/>
    <w:rsid w:val="00E459C6"/>
    <w:rsid w:val="00E47589"/>
    <w:rsid w:val="00E56E79"/>
    <w:rsid w:val="00E600FE"/>
    <w:rsid w:val="00E60E52"/>
    <w:rsid w:val="00E64915"/>
    <w:rsid w:val="00E66170"/>
    <w:rsid w:val="00E661D4"/>
    <w:rsid w:val="00E70091"/>
    <w:rsid w:val="00E720F5"/>
    <w:rsid w:val="00E73B6C"/>
    <w:rsid w:val="00E76D47"/>
    <w:rsid w:val="00E77CB3"/>
    <w:rsid w:val="00E808E4"/>
    <w:rsid w:val="00E8426C"/>
    <w:rsid w:val="00E849F7"/>
    <w:rsid w:val="00E90302"/>
    <w:rsid w:val="00E9051D"/>
    <w:rsid w:val="00E95ED5"/>
    <w:rsid w:val="00E97396"/>
    <w:rsid w:val="00EA185E"/>
    <w:rsid w:val="00EA2400"/>
    <w:rsid w:val="00EA592A"/>
    <w:rsid w:val="00EB14E4"/>
    <w:rsid w:val="00EB32A5"/>
    <w:rsid w:val="00EB34ED"/>
    <w:rsid w:val="00EB7BE0"/>
    <w:rsid w:val="00EB7E63"/>
    <w:rsid w:val="00EC06F1"/>
    <w:rsid w:val="00EC315E"/>
    <w:rsid w:val="00EC7632"/>
    <w:rsid w:val="00ED077C"/>
    <w:rsid w:val="00ED1190"/>
    <w:rsid w:val="00ED16B7"/>
    <w:rsid w:val="00ED6544"/>
    <w:rsid w:val="00ED6841"/>
    <w:rsid w:val="00ED73B4"/>
    <w:rsid w:val="00EE0277"/>
    <w:rsid w:val="00EE1E89"/>
    <w:rsid w:val="00EE3E00"/>
    <w:rsid w:val="00EE5DD2"/>
    <w:rsid w:val="00EF0A2E"/>
    <w:rsid w:val="00EF4294"/>
    <w:rsid w:val="00EF63C2"/>
    <w:rsid w:val="00F00A79"/>
    <w:rsid w:val="00F00E86"/>
    <w:rsid w:val="00F07C1E"/>
    <w:rsid w:val="00F105DB"/>
    <w:rsid w:val="00F12214"/>
    <w:rsid w:val="00F132BC"/>
    <w:rsid w:val="00F13D80"/>
    <w:rsid w:val="00F16AAA"/>
    <w:rsid w:val="00F1728B"/>
    <w:rsid w:val="00F175EE"/>
    <w:rsid w:val="00F21161"/>
    <w:rsid w:val="00F218EF"/>
    <w:rsid w:val="00F21BC7"/>
    <w:rsid w:val="00F23700"/>
    <w:rsid w:val="00F266A2"/>
    <w:rsid w:val="00F32269"/>
    <w:rsid w:val="00F3490F"/>
    <w:rsid w:val="00F34FBC"/>
    <w:rsid w:val="00F45D6F"/>
    <w:rsid w:val="00F518D2"/>
    <w:rsid w:val="00F53ACA"/>
    <w:rsid w:val="00F561B3"/>
    <w:rsid w:val="00F56A6F"/>
    <w:rsid w:val="00F5709C"/>
    <w:rsid w:val="00F579DE"/>
    <w:rsid w:val="00F6034E"/>
    <w:rsid w:val="00F607B5"/>
    <w:rsid w:val="00F615B6"/>
    <w:rsid w:val="00F6468B"/>
    <w:rsid w:val="00F64EF1"/>
    <w:rsid w:val="00F710EE"/>
    <w:rsid w:val="00F71AED"/>
    <w:rsid w:val="00F821EB"/>
    <w:rsid w:val="00F87553"/>
    <w:rsid w:val="00F8765F"/>
    <w:rsid w:val="00F90767"/>
    <w:rsid w:val="00FA2786"/>
    <w:rsid w:val="00FA371E"/>
    <w:rsid w:val="00FA3862"/>
    <w:rsid w:val="00FA685B"/>
    <w:rsid w:val="00FB0C01"/>
    <w:rsid w:val="00FB2B45"/>
    <w:rsid w:val="00FC178A"/>
    <w:rsid w:val="00FC18F2"/>
    <w:rsid w:val="00FC39E5"/>
    <w:rsid w:val="00FC3A78"/>
    <w:rsid w:val="00FD1005"/>
    <w:rsid w:val="00FD2034"/>
    <w:rsid w:val="00FD4672"/>
    <w:rsid w:val="00FD6C75"/>
    <w:rsid w:val="00FE71B3"/>
    <w:rsid w:val="00FF245F"/>
    <w:rsid w:val="00FF42C5"/>
    <w:rsid w:val="00FF76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7772C4"/>
    <w:pPr>
      <w:jc w:val="both"/>
    </w:pPr>
    <w:rPr>
      <w:rFonts w:eastAsiaTheme="minorEastAsia"/>
      <w:sz w:val="24"/>
      <w:lang w:val="en-GB"/>
    </w:rPr>
  </w:style>
  <w:style w:type="paragraph" w:styleId="Titolo1">
    <w:name w:val="heading 1"/>
    <w:basedOn w:val="Normale"/>
    <w:next w:val="Normale"/>
    <w:link w:val="Titolo1Carattere"/>
    <w:uiPriority w:val="99"/>
    <w:semiHidden/>
    <w:rsid w:val="007772C4"/>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7772C4"/>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7772C4"/>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7772C4"/>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7772C4"/>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7772C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7772C4"/>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7772C4"/>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7772C4"/>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7772C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72C4"/>
    <w:rPr>
      <w:rFonts w:ascii="Tahoma" w:eastAsiaTheme="minorEastAsia" w:hAnsi="Tahoma" w:cs="Tahoma"/>
      <w:sz w:val="16"/>
      <w:szCs w:val="16"/>
      <w:lang w:val="en-GB"/>
    </w:rPr>
  </w:style>
  <w:style w:type="character" w:styleId="Titolodellibro">
    <w:name w:val="Book Title"/>
    <w:uiPriority w:val="99"/>
    <w:semiHidden/>
    <w:qFormat/>
    <w:rsid w:val="007772C4"/>
    <w:rPr>
      <w:i/>
      <w:iCs/>
      <w:smallCaps/>
      <w:spacing w:val="5"/>
    </w:rPr>
  </w:style>
  <w:style w:type="paragraph" w:customStyle="1" w:styleId="ECHRHeader">
    <w:name w:val="ECHR_Header"/>
    <w:aliases w:val="Ju_Header"/>
    <w:basedOn w:val="Intestazione"/>
    <w:uiPriority w:val="4"/>
    <w:qFormat/>
    <w:rsid w:val="007772C4"/>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7772C4"/>
    <w:pPr>
      <w:jc w:val="left"/>
    </w:pPr>
    <w:rPr>
      <w:sz w:val="8"/>
    </w:rPr>
  </w:style>
  <w:style w:type="character" w:styleId="Enfasigrassetto">
    <w:name w:val="Strong"/>
    <w:uiPriority w:val="99"/>
    <w:semiHidden/>
    <w:qFormat/>
    <w:rsid w:val="007772C4"/>
    <w:rPr>
      <w:b/>
      <w:bCs/>
    </w:rPr>
  </w:style>
  <w:style w:type="paragraph" w:styleId="Nessunaspaziatura">
    <w:name w:val="No Spacing"/>
    <w:basedOn w:val="Normale"/>
    <w:link w:val="NessunaspaziaturaCarattere"/>
    <w:semiHidden/>
    <w:qFormat/>
    <w:rsid w:val="007772C4"/>
    <w:rPr>
      <w:sz w:val="22"/>
      <w:lang w:val="en-US"/>
    </w:rPr>
  </w:style>
  <w:style w:type="character" w:customStyle="1" w:styleId="NessunaspaziaturaCarattere">
    <w:name w:val="Nessuna spaziatura Carattere"/>
    <w:basedOn w:val="Carpredefinitoparagrafo"/>
    <w:link w:val="Nessunaspaziatura"/>
    <w:semiHidden/>
    <w:rsid w:val="007772C4"/>
    <w:rPr>
      <w:rFonts w:eastAsiaTheme="minorEastAsia"/>
    </w:rPr>
  </w:style>
  <w:style w:type="paragraph" w:customStyle="1" w:styleId="ECHRFooterLine">
    <w:name w:val="ECHR_Footer_Line"/>
    <w:aliases w:val="Footer_Line"/>
    <w:basedOn w:val="Normale"/>
    <w:next w:val="ECHRFooter"/>
    <w:uiPriority w:val="57"/>
    <w:semiHidden/>
    <w:rsid w:val="007772C4"/>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7772C4"/>
  </w:style>
  <w:style w:type="paragraph" w:customStyle="1" w:styleId="OpiPara">
    <w:name w:val="Opi_Para"/>
    <w:basedOn w:val="ECHRPara"/>
    <w:uiPriority w:val="46"/>
    <w:qFormat/>
    <w:rsid w:val="007772C4"/>
  </w:style>
  <w:style w:type="paragraph" w:customStyle="1" w:styleId="DecList">
    <w:name w:val="Dec_List"/>
    <w:basedOn w:val="Normale"/>
    <w:uiPriority w:val="9"/>
    <w:semiHidden/>
    <w:qFormat/>
    <w:rsid w:val="007772C4"/>
    <w:pPr>
      <w:spacing w:before="240"/>
      <w:ind w:left="284"/>
    </w:pPr>
  </w:style>
  <w:style w:type="paragraph" w:customStyle="1" w:styleId="ECHRTitleCentre3">
    <w:name w:val="ECHR_Title_Centre_3"/>
    <w:aliases w:val="Ju_H_Article"/>
    <w:basedOn w:val="Normale"/>
    <w:next w:val="ECHRParaQuote"/>
    <w:uiPriority w:val="27"/>
    <w:qFormat/>
    <w:rsid w:val="007772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7772C4"/>
    <w:pPr>
      <w:keepNext/>
      <w:keepLines/>
      <w:spacing w:after="240"/>
      <w:jc w:val="center"/>
      <w:outlineLvl w:val="0"/>
    </w:pPr>
    <w:rPr>
      <w:rFonts w:asciiTheme="majorHAnsi" w:hAnsiTheme="majorHAnsi"/>
      <w:sz w:val="28"/>
    </w:rPr>
  </w:style>
  <w:style w:type="paragraph" w:customStyle="1" w:styleId="DummyStyle">
    <w:name w:val="Dummy_Style"/>
    <w:basedOn w:val="Normale"/>
    <w:semiHidden/>
    <w:qFormat/>
    <w:rsid w:val="007772C4"/>
    <w:rPr>
      <w:color w:val="00B050"/>
    </w:rPr>
  </w:style>
  <w:style w:type="paragraph" w:customStyle="1" w:styleId="JuAppQuestion">
    <w:name w:val="Ju_App_Question"/>
    <w:basedOn w:val="Normale"/>
    <w:uiPriority w:val="5"/>
    <w:semiHidden/>
    <w:qFormat/>
    <w:rsid w:val="007772C4"/>
    <w:pPr>
      <w:numPr>
        <w:numId w:val="37"/>
      </w:numPr>
      <w:jc w:val="left"/>
    </w:pPr>
    <w:rPr>
      <w:b/>
    </w:rPr>
  </w:style>
  <w:style w:type="paragraph" w:customStyle="1" w:styleId="JuCourt">
    <w:name w:val="Ju_Court"/>
    <w:basedOn w:val="Normale"/>
    <w:next w:val="Normale"/>
    <w:uiPriority w:val="16"/>
    <w:qFormat/>
    <w:rsid w:val="007772C4"/>
    <w:pPr>
      <w:tabs>
        <w:tab w:val="left" w:pos="907"/>
        <w:tab w:val="left" w:pos="1701"/>
        <w:tab w:val="right" w:pos="7371"/>
      </w:tabs>
      <w:spacing w:before="240"/>
      <w:ind w:left="397" w:hanging="397"/>
      <w:jc w:val="left"/>
    </w:pPr>
    <w:rPr>
      <w:lang w:bidi="en-US"/>
    </w:rPr>
  </w:style>
  <w:style w:type="paragraph" w:customStyle="1" w:styleId="ECHRTitleCentre2">
    <w:name w:val="ECHR_Title_Centre_2"/>
    <w:aliases w:val="Dec_H_Case"/>
    <w:basedOn w:val="Normale"/>
    <w:next w:val="ECHRPara"/>
    <w:uiPriority w:val="8"/>
    <w:qFormat/>
    <w:rsid w:val="007772C4"/>
    <w:pPr>
      <w:spacing w:after="240"/>
      <w:jc w:val="center"/>
      <w:outlineLvl w:val="0"/>
    </w:pPr>
    <w:rPr>
      <w:rFonts w:asciiTheme="majorHAnsi" w:hAnsiTheme="majorHAnsi"/>
    </w:rPr>
  </w:style>
  <w:style w:type="paragraph" w:customStyle="1" w:styleId="JuInitialled">
    <w:name w:val="Ju_Initialled"/>
    <w:basedOn w:val="Normale"/>
    <w:uiPriority w:val="31"/>
    <w:qFormat/>
    <w:rsid w:val="007772C4"/>
    <w:pPr>
      <w:tabs>
        <w:tab w:val="center" w:pos="6407"/>
      </w:tabs>
      <w:spacing w:before="720"/>
      <w:jc w:val="right"/>
    </w:pPr>
  </w:style>
  <w:style w:type="paragraph" w:styleId="Titolo">
    <w:name w:val="Title"/>
    <w:basedOn w:val="Normale"/>
    <w:next w:val="Normale"/>
    <w:link w:val="TitoloCarattere"/>
    <w:uiPriority w:val="99"/>
    <w:semiHidden/>
    <w:qFormat/>
    <w:rsid w:val="007772C4"/>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7772C4"/>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7772C4"/>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7772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7772C4"/>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Titolo6"/>
    <w:next w:val="ECHRPara"/>
    <w:uiPriority w:val="24"/>
    <w:qFormat/>
    <w:rsid w:val="007772C4"/>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7772C4"/>
    <w:pPr>
      <w:keepNext/>
      <w:keepLines/>
      <w:spacing w:before="240" w:after="120"/>
      <w:ind w:left="1236"/>
    </w:pPr>
    <w:rPr>
      <w:sz w:val="20"/>
      <w:lang w:val="en-GB"/>
    </w:rPr>
  </w:style>
  <w:style w:type="paragraph" w:customStyle="1" w:styleId="JuHeaderLandscape">
    <w:name w:val="Ju_Header_Landscape"/>
    <w:basedOn w:val="ECHRHeader"/>
    <w:uiPriority w:val="4"/>
    <w:qFormat/>
    <w:rsid w:val="007772C4"/>
    <w:pPr>
      <w:tabs>
        <w:tab w:val="clear" w:pos="3686"/>
        <w:tab w:val="clear" w:pos="7371"/>
        <w:tab w:val="center" w:pos="6146"/>
        <w:tab w:val="right" w:pos="12293"/>
      </w:tabs>
    </w:pPr>
  </w:style>
  <w:style w:type="character" w:customStyle="1" w:styleId="JuITMark">
    <w:name w:val="Ju_ITMark"/>
    <w:basedOn w:val="Carpredefinitoparagrafo"/>
    <w:uiPriority w:val="38"/>
    <w:qFormat/>
    <w:rsid w:val="007772C4"/>
    <w:rPr>
      <w:vanish w:val="0"/>
      <w:color w:val="auto"/>
      <w:sz w:val="14"/>
      <w:bdr w:val="none" w:sz="0" w:space="0" w:color="auto"/>
      <w:shd w:val="clear" w:color="auto" w:fill="BEE5FF" w:themeFill="background1" w:themeFillTint="33"/>
    </w:rPr>
  </w:style>
  <w:style w:type="character" w:customStyle="1" w:styleId="JUNAMES">
    <w:name w:val="JU_NAMES"/>
    <w:uiPriority w:val="17"/>
    <w:qFormat/>
    <w:rsid w:val="007772C4"/>
    <w:rPr>
      <w:caps w:val="0"/>
      <w:smallCaps/>
    </w:rPr>
  </w:style>
  <w:style w:type="paragraph" w:styleId="Intestazione">
    <w:name w:val="header"/>
    <w:basedOn w:val="Normale"/>
    <w:link w:val="IntestazioneCarattere"/>
    <w:uiPriority w:val="57"/>
    <w:semiHidden/>
    <w:rsid w:val="007772C4"/>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7772C4"/>
    <w:rPr>
      <w:sz w:val="24"/>
      <w:lang w:val="en-GB"/>
    </w:rPr>
  </w:style>
  <w:style w:type="character" w:customStyle="1" w:styleId="Titolo1Carattere">
    <w:name w:val="Titolo 1 Carattere"/>
    <w:basedOn w:val="Carpredefinitoparagrafo"/>
    <w:link w:val="Titolo1"/>
    <w:uiPriority w:val="99"/>
    <w:semiHidden/>
    <w:rsid w:val="007772C4"/>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Titolo1"/>
    <w:next w:val="ECHRPara"/>
    <w:uiPriority w:val="19"/>
    <w:qFormat/>
    <w:rsid w:val="007772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7772C4"/>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7772C4"/>
    <w:rPr>
      <w:rFonts w:asciiTheme="majorHAnsi" w:eastAsiaTheme="majorEastAsia" w:hAnsiTheme="majorHAnsi" w:cstheme="majorBidi"/>
      <w:b/>
      <w:bCs/>
      <w:color w:val="4D4D4D"/>
      <w:sz w:val="26"/>
      <w:szCs w:val="26"/>
      <w:lang w:val="en-GB"/>
    </w:rPr>
  </w:style>
  <w:style w:type="paragraph" w:customStyle="1" w:styleId="JuParaSub">
    <w:name w:val="Ju_Para_Sub"/>
    <w:basedOn w:val="ECHRPara"/>
    <w:uiPriority w:val="13"/>
    <w:qFormat/>
    <w:rsid w:val="007772C4"/>
    <w:pPr>
      <w:ind w:left="284"/>
    </w:pPr>
  </w:style>
  <w:style w:type="paragraph" w:customStyle="1" w:styleId="ECHRDecisionBody">
    <w:name w:val="ECHR_Decision_Body"/>
    <w:aliases w:val="Ju_Judges"/>
    <w:basedOn w:val="Normale"/>
    <w:uiPriority w:val="11"/>
    <w:qFormat/>
    <w:rsid w:val="007772C4"/>
    <w:pPr>
      <w:tabs>
        <w:tab w:val="left" w:pos="567"/>
        <w:tab w:val="left" w:pos="1134"/>
      </w:tabs>
      <w:jc w:val="left"/>
    </w:pPr>
  </w:style>
  <w:style w:type="character" w:customStyle="1" w:styleId="Titolo3Carattere">
    <w:name w:val="Titolo 3 Carattere"/>
    <w:basedOn w:val="Carpredefinitoparagrafo"/>
    <w:link w:val="Titolo3"/>
    <w:uiPriority w:val="99"/>
    <w:semiHidden/>
    <w:rsid w:val="007772C4"/>
    <w:rPr>
      <w:rFonts w:asciiTheme="majorHAnsi" w:eastAsiaTheme="majorEastAsia" w:hAnsiTheme="majorHAnsi" w:cstheme="majorBidi"/>
      <w:b/>
      <w:bCs/>
      <w:color w:val="5F5F5F"/>
      <w:sz w:val="24"/>
      <w:lang w:val="en-GB"/>
    </w:rPr>
  </w:style>
  <w:style w:type="paragraph" w:customStyle="1" w:styleId="ECHRPara">
    <w:name w:val="ECHR_Para"/>
    <w:aliases w:val="Ju_Para"/>
    <w:basedOn w:val="Normale"/>
    <w:uiPriority w:val="12"/>
    <w:qFormat/>
    <w:rsid w:val="007772C4"/>
    <w:pPr>
      <w:ind w:firstLine="284"/>
    </w:pPr>
  </w:style>
  <w:style w:type="character" w:customStyle="1" w:styleId="Titolo4Carattere">
    <w:name w:val="Titolo 4 Carattere"/>
    <w:basedOn w:val="Carpredefinitoparagrafo"/>
    <w:link w:val="Titolo4"/>
    <w:uiPriority w:val="99"/>
    <w:semiHidden/>
    <w:rsid w:val="007772C4"/>
    <w:rPr>
      <w:rFonts w:asciiTheme="majorHAnsi" w:eastAsiaTheme="majorEastAsia" w:hAnsiTheme="majorHAnsi" w:cstheme="majorBidi"/>
      <w:b/>
      <w:bCs/>
      <w:i/>
      <w:iCs/>
      <w:color w:val="777777"/>
      <w:sz w:val="24"/>
      <w:lang w:val="en-GB"/>
    </w:rPr>
  </w:style>
  <w:style w:type="character" w:customStyle="1" w:styleId="Titolo5Carattere">
    <w:name w:val="Titolo 5 Carattere"/>
    <w:basedOn w:val="Carpredefinitoparagrafo"/>
    <w:link w:val="Titolo5"/>
    <w:uiPriority w:val="99"/>
    <w:semiHidden/>
    <w:rsid w:val="007772C4"/>
    <w:rPr>
      <w:rFonts w:asciiTheme="majorHAnsi" w:eastAsiaTheme="majorEastAsia" w:hAnsiTheme="majorHAnsi" w:cstheme="majorBidi"/>
      <w:b/>
      <w:bCs/>
      <w:color w:val="808080"/>
    </w:rPr>
  </w:style>
  <w:style w:type="character" w:styleId="Enfasidelicata">
    <w:name w:val="Subtle Emphasis"/>
    <w:uiPriority w:val="99"/>
    <w:semiHidden/>
    <w:qFormat/>
    <w:rsid w:val="007772C4"/>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7772C4"/>
    <w:pPr>
      <w:keepNext/>
      <w:keepLines/>
      <w:spacing w:before="720" w:after="240"/>
      <w:outlineLvl w:val="0"/>
    </w:pPr>
    <w:rPr>
      <w:rFonts w:asciiTheme="majorHAnsi" w:hAnsiTheme="majorHAnsi"/>
      <w:sz w:val="28"/>
    </w:rPr>
  </w:style>
  <w:style w:type="character" w:styleId="Enfasicorsivo">
    <w:name w:val="Emphasis"/>
    <w:uiPriority w:val="99"/>
    <w:semiHidden/>
    <w:qFormat/>
    <w:rsid w:val="007772C4"/>
    <w:rPr>
      <w:b/>
      <w:bCs/>
      <w:i/>
      <w:iCs/>
      <w:spacing w:val="10"/>
      <w:bdr w:val="none" w:sz="0" w:space="0" w:color="auto"/>
      <w:shd w:val="clear" w:color="auto" w:fill="auto"/>
    </w:rPr>
  </w:style>
  <w:style w:type="paragraph" w:styleId="Pidipagina">
    <w:name w:val="footer"/>
    <w:basedOn w:val="Normale"/>
    <w:link w:val="PidipaginaCarattere"/>
    <w:uiPriority w:val="57"/>
    <w:semiHidden/>
    <w:rsid w:val="007772C4"/>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7772C4"/>
    <w:rPr>
      <w:sz w:val="24"/>
      <w:lang w:val="en-GB"/>
    </w:rPr>
  </w:style>
  <w:style w:type="character" w:styleId="Rimandonotaapidipagina">
    <w:name w:val="footnote reference"/>
    <w:basedOn w:val="Carpredefinitoparagrafo"/>
    <w:uiPriority w:val="99"/>
    <w:semiHidden/>
    <w:rsid w:val="007772C4"/>
    <w:rPr>
      <w:vertAlign w:val="superscript"/>
    </w:rPr>
  </w:style>
  <w:style w:type="paragraph" w:styleId="Testonotaapidipagina">
    <w:name w:val="footnote text"/>
    <w:basedOn w:val="Normale"/>
    <w:link w:val="TestonotaapidipaginaCarattere"/>
    <w:uiPriority w:val="99"/>
    <w:semiHidden/>
    <w:rsid w:val="007772C4"/>
    <w:rPr>
      <w:sz w:val="20"/>
      <w:szCs w:val="20"/>
    </w:rPr>
  </w:style>
  <w:style w:type="character" w:customStyle="1" w:styleId="TestonotaapidipaginaCarattere">
    <w:name w:val="Testo nota a piè di pagina Carattere"/>
    <w:basedOn w:val="Carpredefinitoparagrafo"/>
    <w:link w:val="Testonotaapidipagina"/>
    <w:uiPriority w:val="99"/>
    <w:semiHidden/>
    <w:rsid w:val="007772C4"/>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7772C4"/>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7772C4"/>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7772C4"/>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7772C4"/>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7772C4"/>
    <w:rPr>
      <w:color w:val="0072BC" w:themeColor="hyperlink"/>
      <w:u w:val="single"/>
    </w:rPr>
  </w:style>
  <w:style w:type="character" w:styleId="Enfasiintensa">
    <w:name w:val="Intense Emphasis"/>
    <w:uiPriority w:val="99"/>
    <w:semiHidden/>
    <w:qFormat/>
    <w:rsid w:val="007772C4"/>
    <w:rPr>
      <w:b/>
      <w:bCs/>
    </w:rPr>
  </w:style>
  <w:style w:type="paragraph" w:styleId="Citazioneintensa">
    <w:name w:val="Intense Quote"/>
    <w:basedOn w:val="Normale"/>
    <w:next w:val="Normale"/>
    <w:link w:val="CitazioneintensaCarattere"/>
    <w:uiPriority w:val="99"/>
    <w:semiHidden/>
    <w:qFormat/>
    <w:rsid w:val="007772C4"/>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7772C4"/>
    <w:rPr>
      <w:rFonts w:eastAsiaTheme="minorEastAsia"/>
      <w:b/>
      <w:bCs/>
      <w:i/>
      <w:iCs/>
      <w:lang w:bidi="en-US"/>
    </w:rPr>
  </w:style>
  <w:style w:type="character" w:styleId="Riferimentointenso">
    <w:name w:val="Intense Reference"/>
    <w:uiPriority w:val="99"/>
    <w:semiHidden/>
    <w:qFormat/>
    <w:rsid w:val="007772C4"/>
    <w:rPr>
      <w:smallCaps/>
      <w:spacing w:val="5"/>
      <w:u w:val="single"/>
    </w:rPr>
  </w:style>
  <w:style w:type="paragraph" w:styleId="Paragrafoelenco">
    <w:name w:val="List Paragraph"/>
    <w:basedOn w:val="Normale"/>
    <w:uiPriority w:val="99"/>
    <w:semiHidden/>
    <w:qFormat/>
    <w:rsid w:val="007772C4"/>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7772C4"/>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7772C4"/>
    <w:rPr>
      <w:rFonts w:eastAsiaTheme="minorEastAsia"/>
      <w:i/>
      <w:iCs/>
      <w:lang w:bidi="en-US"/>
    </w:rPr>
  </w:style>
  <w:style w:type="character" w:styleId="Riferimentodelicato">
    <w:name w:val="Subtle Reference"/>
    <w:uiPriority w:val="99"/>
    <w:semiHidden/>
    <w:qFormat/>
    <w:rsid w:val="007772C4"/>
    <w:rPr>
      <w:smallCaps/>
    </w:rPr>
  </w:style>
  <w:style w:type="table" w:styleId="Grigliatabella">
    <w:name w:val="Table Grid"/>
    <w:basedOn w:val="Tabellanormale"/>
    <w:uiPriority w:val="59"/>
    <w:semiHidden/>
    <w:rsid w:val="007772C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7772C4"/>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7772C4"/>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7772C4"/>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7772C4"/>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7772C4"/>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7772C4"/>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7772C4"/>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7772C4"/>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7772C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7772C4"/>
    <w:pPr>
      <w:tabs>
        <w:tab w:val="center" w:pos="851"/>
        <w:tab w:val="center" w:pos="6407"/>
      </w:tabs>
      <w:spacing w:before="720"/>
      <w:jc w:val="left"/>
    </w:pPr>
  </w:style>
  <w:style w:type="paragraph" w:customStyle="1" w:styleId="JuParaLast">
    <w:name w:val="Ju_Para_Last"/>
    <w:basedOn w:val="Normale"/>
    <w:next w:val="ECHRPara"/>
    <w:uiPriority w:val="30"/>
    <w:qFormat/>
    <w:rsid w:val="007772C4"/>
    <w:pPr>
      <w:keepNext/>
      <w:keepLines/>
      <w:spacing w:before="240"/>
      <w:ind w:firstLine="284"/>
    </w:pPr>
  </w:style>
  <w:style w:type="paragraph" w:customStyle="1" w:styleId="JuCase">
    <w:name w:val="Ju_Case"/>
    <w:basedOn w:val="Normale"/>
    <w:next w:val="ECHRPara"/>
    <w:uiPriority w:val="10"/>
    <w:rsid w:val="007772C4"/>
    <w:pPr>
      <w:ind w:firstLine="284"/>
    </w:pPr>
    <w:rPr>
      <w:b/>
    </w:rPr>
  </w:style>
  <w:style w:type="paragraph" w:customStyle="1" w:styleId="JuList">
    <w:name w:val="Ju_List"/>
    <w:basedOn w:val="Normale"/>
    <w:uiPriority w:val="28"/>
    <w:qFormat/>
    <w:rsid w:val="007772C4"/>
    <w:pPr>
      <w:ind w:left="340" w:hanging="340"/>
    </w:pPr>
  </w:style>
  <w:style w:type="paragraph" w:customStyle="1" w:styleId="JuQuotSub">
    <w:name w:val="Ju_Quot_Sub"/>
    <w:basedOn w:val="ECHRParaQuote"/>
    <w:uiPriority w:val="15"/>
    <w:qFormat/>
    <w:rsid w:val="007772C4"/>
    <w:pPr>
      <w:ind w:left="567"/>
    </w:pPr>
  </w:style>
  <w:style w:type="character" w:styleId="Numeropagina">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7772C4"/>
    <w:pPr>
      <w:ind w:left="346" w:firstLine="0"/>
    </w:pPr>
  </w:style>
  <w:style w:type="paragraph" w:customStyle="1" w:styleId="JuListi">
    <w:name w:val="Ju_List_i"/>
    <w:basedOn w:val="Normale"/>
    <w:next w:val="JuLista"/>
    <w:uiPriority w:val="28"/>
    <w:qFormat/>
    <w:rsid w:val="007772C4"/>
    <w:pPr>
      <w:ind w:left="794"/>
    </w:pPr>
  </w:style>
  <w:style w:type="character" w:styleId="Rimandocommento">
    <w:name w:val="annotation reference"/>
    <w:uiPriority w:val="99"/>
    <w:semiHidden/>
    <w:rsid w:val="00E77CB3"/>
    <w:rPr>
      <w:sz w:val="16"/>
    </w:rPr>
  </w:style>
  <w:style w:type="paragraph" w:styleId="Testocommento">
    <w:name w:val="annotation text"/>
    <w:basedOn w:val="Normale"/>
    <w:link w:val="TestocommentoCarattere"/>
    <w:uiPriority w:val="99"/>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basedOn w:val="Carpredefinitoparagrafo"/>
    <w:uiPriority w:val="99"/>
    <w:semiHidden/>
    <w:rsid w:val="007772C4"/>
    <w:rPr>
      <w:vertAlign w:val="superscript"/>
    </w:rPr>
  </w:style>
  <w:style w:type="paragraph" w:styleId="Testonotadichiusura">
    <w:name w:val="endnote text"/>
    <w:basedOn w:val="Normale"/>
    <w:link w:val="TestonotadichiusuraCarattere"/>
    <w:uiPriority w:val="99"/>
    <w:semiHidden/>
    <w:rsid w:val="007772C4"/>
    <w:rPr>
      <w:sz w:val="20"/>
      <w:szCs w:val="20"/>
    </w:rPr>
  </w:style>
  <w:style w:type="character" w:customStyle="1" w:styleId="TestonotadichiusuraCarattere">
    <w:name w:val="Testo nota di chiusura Carattere"/>
    <w:basedOn w:val="Carpredefinitoparagrafo"/>
    <w:link w:val="Testonotadichiusura"/>
    <w:uiPriority w:val="99"/>
    <w:semiHidden/>
    <w:rsid w:val="007772C4"/>
    <w:rPr>
      <w:rFonts w:eastAsiaTheme="minorEastAsia"/>
      <w:sz w:val="20"/>
      <w:szCs w:val="20"/>
      <w:lang w:val="en-GB"/>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JuTitle">
    <w:name w:val="Ju_Title"/>
    <w:basedOn w:val="Normale"/>
    <w:next w:val="ECHRPara"/>
    <w:uiPriority w:val="3"/>
    <w:semiHidden/>
    <w:qFormat/>
    <w:rsid w:val="007772C4"/>
    <w:pPr>
      <w:spacing w:before="720" w:after="240"/>
      <w:jc w:val="center"/>
      <w:outlineLvl w:val="0"/>
    </w:pPr>
    <w:rPr>
      <w:rFonts w:asciiTheme="majorHAnsi" w:hAnsiTheme="majorHAnsi"/>
      <w:b/>
      <w:caps/>
    </w:r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paragraph" w:customStyle="1" w:styleId="OpiH1">
    <w:name w:val="Opi_H_1"/>
    <w:basedOn w:val="ECHRHeading2"/>
    <w:uiPriority w:val="42"/>
    <w:qFormat/>
    <w:rsid w:val="007772C4"/>
    <w:pPr>
      <w:ind w:left="635" w:hanging="357"/>
      <w:outlineLvl w:val="2"/>
    </w:pPr>
  </w:style>
  <w:style w:type="paragraph" w:styleId="Sottotitolo">
    <w:name w:val="Subtitle"/>
    <w:basedOn w:val="Normale"/>
    <w:next w:val="Normale"/>
    <w:link w:val="SottotitoloCarattere"/>
    <w:uiPriority w:val="99"/>
    <w:semiHidden/>
    <w:qFormat/>
    <w:rsid w:val="007772C4"/>
    <w:pPr>
      <w:spacing w:after="600"/>
    </w:pPr>
    <w:rPr>
      <w:rFonts w:asciiTheme="majorHAnsi" w:eastAsiaTheme="majorEastAsia" w:hAnsiTheme="majorHAnsi" w:cstheme="majorBidi"/>
      <w:i/>
      <w:iCs/>
      <w:spacing w:val="13"/>
      <w:szCs w:val="24"/>
      <w:lang w:val="en-US" w:bidi="en-US"/>
    </w:rPr>
  </w:style>
  <w:style w:type="character" w:customStyle="1" w:styleId="SottotitoloCarattere">
    <w:name w:val="Sottotitolo Carattere"/>
    <w:basedOn w:val="Carpredefinitoparagrafo"/>
    <w:link w:val="Sottotitolo"/>
    <w:uiPriority w:val="99"/>
    <w:semiHidden/>
    <w:rsid w:val="007772C4"/>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7772C4"/>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7772C4"/>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7772C4"/>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OpiHa">
    <w:name w:val="Opi_H_a"/>
    <w:basedOn w:val="ECHRHeading3"/>
    <w:uiPriority w:val="43"/>
    <w:qFormat/>
    <w:rsid w:val="007772C4"/>
    <w:pPr>
      <w:ind w:left="833" w:hanging="357"/>
      <w:outlineLvl w:val="3"/>
    </w:pPr>
    <w:rPr>
      <w:b/>
      <w:i w:val="0"/>
      <w:sz w:val="20"/>
    </w:rPr>
  </w:style>
  <w:style w:type="paragraph" w:customStyle="1" w:styleId="OpiHA0">
    <w:name w:val="Opi_H_A"/>
    <w:basedOn w:val="ECHRHeading1"/>
    <w:next w:val="OpiPara"/>
    <w:uiPriority w:val="41"/>
    <w:qFormat/>
    <w:rsid w:val="007772C4"/>
    <w:pPr>
      <w:tabs>
        <w:tab w:val="clear" w:pos="357"/>
      </w:tabs>
      <w:outlineLvl w:val="1"/>
    </w:pPr>
    <w:rPr>
      <w:b/>
    </w:rPr>
  </w:style>
  <w:style w:type="paragraph" w:customStyle="1" w:styleId="OpiHi">
    <w:name w:val="Opi_H_i"/>
    <w:basedOn w:val="ECHRHeading4"/>
    <w:uiPriority w:val="44"/>
    <w:qFormat/>
    <w:rsid w:val="007772C4"/>
    <w:pPr>
      <w:ind w:left="1037" w:hanging="357"/>
      <w:outlineLvl w:val="4"/>
    </w:pPr>
    <w:rPr>
      <w:b w:val="0"/>
      <w:i/>
    </w:rPr>
  </w:style>
  <w:style w:type="paragraph" w:customStyle="1" w:styleId="OpiParaSub">
    <w:name w:val="Opi_Para_Sub"/>
    <w:basedOn w:val="JuParaSub"/>
    <w:uiPriority w:val="47"/>
    <w:qFormat/>
    <w:rsid w:val="007772C4"/>
  </w:style>
  <w:style w:type="paragraph" w:customStyle="1" w:styleId="OpiQuot">
    <w:name w:val="Opi_Quot"/>
    <w:basedOn w:val="ECHRParaQuote"/>
    <w:uiPriority w:val="48"/>
    <w:qFormat/>
    <w:rsid w:val="007772C4"/>
  </w:style>
  <w:style w:type="paragraph" w:customStyle="1" w:styleId="OpiQuotSub">
    <w:name w:val="Opi_Quot_Sub"/>
    <w:basedOn w:val="JuQuotSub"/>
    <w:uiPriority w:val="49"/>
    <w:qFormat/>
    <w:rsid w:val="007772C4"/>
  </w:style>
  <w:style w:type="paragraph" w:customStyle="1" w:styleId="OpiTranslation">
    <w:name w:val="Opi_Translation"/>
    <w:basedOn w:val="Normale"/>
    <w:next w:val="OpiPara"/>
    <w:uiPriority w:val="40"/>
    <w:qFormat/>
    <w:rsid w:val="007772C4"/>
    <w:pPr>
      <w:jc w:val="center"/>
      <w:outlineLvl w:val="0"/>
    </w:pPr>
    <w:rPr>
      <w:i/>
    </w:rPr>
  </w:style>
  <w:style w:type="paragraph" w:customStyle="1" w:styleId="ECHRSpacer">
    <w:name w:val="ECHR_Spacer"/>
    <w:basedOn w:val="Normale"/>
    <w:uiPriority w:val="45"/>
    <w:rsid w:val="00AA755B"/>
    <w:pPr>
      <w:jc w:val="left"/>
    </w:pPr>
    <w:rPr>
      <w:rFonts w:eastAsiaTheme="minorHAnsi"/>
      <w:sz w:val="4"/>
    </w:rPr>
  </w:style>
  <w:style w:type="character" w:customStyle="1" w:styleId="CLLItalic">
    <w:name w:val="CLL_Italic"/>
    <w:basedOn w:val="Carpredefinitoparagrafo"/>
    <w:uiPriority w:val="1"/>
    <w:rsid w:val="00CC0416"/>
    <w:rPr>
      <w:i/>
      <w:iCs/>
      <w:color w:val="auto"/>
      <w:lang w:val="fr-FR"/>
    </w:rPr>
  </w:style>
  <w:style w:type="character" w:customStyle="1" w:styleId="CLLSuperscript">
    <w:name w:val="CLL_Superscript"/>
    <w:basedOn w:val="Carpredefinitoparagrafo"/>
    <w:uiPriority w:val="1"/>
    <w:rsid w:val="00CC0416"/>
    <w:rPr>
      <w:b w:val="0"/>
      <w:i w:val="0"/>
      <w:vertAlign w:val="superscript"/>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5099">
      <w:bodyDiv w:val="1"/>
      <w:marLeft w:val="0"/>
      <w:marRight w:val="0"/>
      <w:marTop w:val="0"/>
      <w:marBottom w:val="0"/>
      <w:divBdr>
        <w:top w:val="none" w:sz="0" w:space="0" w:color="auto"/>
        <w:left w:val="none" w:sz="0" w:space="0" w:color="auto"/>
        <w:bottom w:val="none" w:sz="0" w:space="0" w:color="auto"/>
        <w:right w:val="none" w:sz="0" w:space="0" w:color="auto"/>
      </w:divBdr>
      <w:divsChild>
        <w:div w:id="476998130">
          <w:marLeft w:val="0"/>
          <w:marRight w:val="0"/>
          <w:marTop w:val="0"/>
          <w:marBottom w:val="0"/>
          <w:divBdr>
            <w:top w:val="none" w:sz="0" w:space="0" w:color="auto"/>
            <w:left w:val="none" w:sz="0" w:space="0" w:color="auto"/>
            <w:bottom w:val="none" w:sz="0" w:space="0" w:color="auto"/>
            <w:right w:val="none" w:sz="0" w:space="0" w:color="auto"/>
          </w:divBdr>
          <w:divsChild>
            <w:div w:id="901796750">
              <w:marLeft w:val="0"/>
              <w:marRight w:val="0"/>
              <w:marTop w:val="0"/>
              <w:marBottom w:val="0"/>
              <w:divBdr>
                <w:top w:val="none" w:sz="0" w:space="0" w:color="auto"/>
                <w:left w:val="none" w:sz="0" w:space="0" w:color="auto"/>
                <w:bottom w:val="none" w:sz="0" w:space="0" w:color="auto"/>
                <w:right w:val="none" w:sz="0" w:space="0" w:color="auto"/>
              </w:divBdr>
              <w:divsChild>
                <w:div w:id="1286547840">
                  <w:marLeft w:val="0"/>
                  <w:marRight w:val="0"/>
                  <w:marTop w:val="0"/>
                  <w:marBottom w:val="0"/>
                  <w:divBdr>
                    <w:top w:val="none" w:sz="0" w:space="0" w:color="auto"/>
                    <w:left w:val="none" w:sz="0" w:space="0" w:color="auto"/>
                    <w:bottom w:val="none" w:sz="0" w:space="0" w:color="auto"/>
                    <w:right w:val="none" w:sz="0" w:space="0" w:color="auto"/>
                  </w:divBdr>
                  <w:divsChild>
                    <w:div w:id="1371226445">
                      <w:marLeft w:val="0"/>
                      <w:marRight w:val="0"/>
                      <w:marTop w:val="0"/>
                      <w:marBottom w:val="0"/>
                      <w:divBdr>
                        <w:top w:val="none" w:sz="0" w:space="0" w:color="auto"/>
                        <w:left w:val="none" w:sz="0" w:space="0" w:color="auto"/>
                        <w:bottom w:val="none" w:sz="0" w:space="0" w:color="auto"/>
                        <w:right w:val="none" w:sz="0" w:space="0" w:color="auto"/>
                      </w:divBdr>
                      <w:divsChild>
                        <w:div w:id="1470395936">
                          <w:marLeft w:val="0"/>
                          <w:marRight w:val="0"/>
                          <w:marTop w:val="0"/>
                          <w:marBottom w:val="0"/>
                          <w:divBdr>
                            <w:top w:val="none" w:sz="0" w:space="0" w:color="auto"/>
                            <w:left w:val="none" w:sz="0" w:space="0" w:color="auto"/>
                            <w:bottom w:val="none" w:sz="0" w:space="0" w:color="auto"/>
                            <w:right w:val="none" w:sz="0" w:space="0" w:color="auto"/>
                          </w:divBdr>
                          <w:divsChild>
                            <w:div w:id="14704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868261">
      <w:bodyDiv w:val="1"/>
      <w:marLeft w:val="0"/>
      <w:marRight w:val="0"/>
      <w:marTop w:val="0"/>
      <w:marBottom w:val="0"/>
      <w:divBdr>
        <w:top w:val="none" w:sz="0" w:space="0" w:color="auto"/>
        <w:left w:val="none" w:sz="0" w:space="0" w:color="auto"/>
        <w:bottom w:val="none" w:sz="0" w:space="0" w:color="auto"/>
        <w:right w:val="none" w:sz="0" w:space="0" w:color="auto"/>
      </w:divBdr>
      <w:divsChild>
        <w:div w:id="315378030">
          <w:marLeft w:val="0"/>
          <w:marRight w:val="0"/>
          <w:marTop w:val="0"/>
          <w:marBottom w:val="0"/>
          <w:divBdr>
            <w:top w:val="none" w:sz="0" w:space="0" w:color="auto"/>
            <w:left w:val="none" w:sz="0" w:space="0" w:color="auto"/>
            <w:bottom w:val="none" w:sz="0" w:space="0" w:color="auto"/>
            <w:right w:val="none" w:sz="0" w:space="0" w:color="auto"/>
          </w:divBdr>
          <w:divsChild>
            <w:div w:id="300768216">
              <w:marLeft w:val="0"/>
              <w:marRight w:val="0"/>
              <w:marTop w:val="0"/>
              <w:marBottom w:val="0"/>
              <w:divBdr>
                <w:top w:val="none" w:sz="0" w:space="0" w:color="auto"/>
                <w:left w:val="none" w:sz="0" w:space="0" w:color="auto"/>
                <w:bottom w:val="none" w:sz="0" w:space="0" w:color="auto"/>
                <w:right w:val="none" w:sz="0" w:space="0" w:color="auto"/>
              </w:divBdr>
              <w:divsChild>
                <w:div w:id="232593770">
                  <w:marLeft w:val="0"/>
                  <w:marRight w:val="0"/>
                  <w:marTop w:val="0"/>
                  <w:marBottom w:val="0"/>
                  <w:divBdr>
                    <w:top w:val="none" w:sz="0" w:space="0" w:color="auto"/>
                    <w:left w:val="none" w:sz="0" w:space="0" w:color="auto"/>
                    <w:bottom w:val="none" w:sz="0" w:space="0" w:color="auto"/>
                    <w:right w:val="none" w:sz="0" w:space="0" w:color="auto"/>
                  </w:divBdr>
                  <w:divsChild>
                    <w:div w:id="86268821">
                      <w:marLeft w:val="0"/>
                      <w:marRight w:val="0"/>
                      <w:marTop w:val="0"/>
                      <w:marBottom w:val="0"/>
                      <w:divBdr>
                        <w:top w:val="none" w:sz="0" w:space="0" w:color="auto"/>
                        <w:left w:val="none" w:sz="0" w:space="0" w:color="auto"/>
                        <w:bottom w:val="none" w:sz="0" w:space="0" w:color="auto"/>
                        <w:right w:val="none" w:sz="0" w:space="0" w:color="auto"/>
                      </w:divBdr>
                      <w:divsChild>
                        <w:div w:id="429660609">
                          <w:marLeft w:val="0"/>
                          <w:marRight w:val="0"/>
                          <w:marTop w:val="0"/>
                          <w:marBottom w:val="0"/>
                          <w:divBdr>
                            <w:top w:val="none" w:sz="0" w:space="0" w:color="auto"/>
                            <w:left w:val="none" w:sz="0" w:space="0" w:color="auto"/>
                            <w:bottom w:val="none" w:sz="0" w:space="0" w:color="auto"/>
                            <w:right w:val="none" w:sz="0" w:space="0" w:color="auto"/>
                          </w:divBdr>
                          <w:divsChild>
                            <w:div w:id="13647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061562">
      <w:bodyDiv w:val="1"/>
      <w:marLeft w:val="0"/>
      <w:marRight w:val="0"/>
      <w:marTop w:val="0"/>
      <w:marBottom w:val="0"/>
      <w:divBdr>
        <w:top w:val="none" w:sz="0" w:space="0" w:color="auto"/>
        <w:left w:val="none" w:sz="0" w:space="0" w:color="auto"/>
        <w:bottom w:val="none" w:sz="0" w:space="0" w:color="auto"/>
        <w:right w:val="none" w:sz="0" w:space="0" w:color="auto"/>
      </w:divBdr>
    </w:div>
    <w:div w:id="867791403">
      <w:bodyDiv w:val="1"/>
      <w:marLeft w:val="0"/>
      <w:marRight w:val="0"/>
      <w:marTop w:val="0"/>
      <w:marBottom w:val="0"/>
      <w:divBdr>
        <w:top w:val="none" w:sz="0" w:space="0" w:color="auto"/>
        <w:left w:val="none" w:sz="0" w:space="0" w:color="auto"/>
        <w:bottom w:val="none" w:sz="0" w:space="0" w:color="auto"/>
        <w:right w:val="none" w:sz="0" w:space="0" w:color="auto"/>
      </w:divBdr>
      <w:divsChild>
        <w:div w:id="1228802580">
          <w:marLeft w:val="0"/>
          <w:marRight w:val="0"/>
          <w:marTop w:val="0"/>
          <w:marBottom w:val="0"/>
          <w:divBdr>
            <w:top w:val="none" w:sz="0" w:space="0" w:color="auto"/>
            <w:left w:val="none" w:sz="0" w:space="0" w:color="auto"/>
            <w:bottom w:val="none" w:sz="0" w:space="0" w:color="auto"/>
            <w:right w:val="none" w:sz="0" w:space="0" w:color="auto"/>
          </w:divBdr>
          <w:divsChild>
            <w:div w:id="407731668">
              <w:marLeft w:val="0"/>
              <w:marRight w:val="0"/>
              <w:marTop w:val="0"/>
              <w:marBottom w:val="0"/>
              <w:divBdr>
                <w:top w:val="none" w:sz="0" w:space="0" w:color="auto"/>
                <w:left w:val="none" w:sz="0" w:space="0" w:color="auto"/>
                <w:bottom w:val="none" w:sz="0" w:space="0" w:color="auto"/>
                <w:right w:val="none" w:sz="0" w:space="0" w:color="auto"/>
              </w:divBdr>
              <w:divsChild>
                <w:div w:id="1810391357">
                  <w:marLeft w:val="0"/>
                  <w:marRight w:val="0"/>
                  <w:marTop w:val="0"/>
                  <w:marBottom w:val="0"/>
                  <w:divBdr>
                    <w:top w:val="none" w:sz="0" w:space="0" w:color="auto"/>
                    <w:left w:val="none" w:sz="0" w:space="0" w:color="auto"/>
                    <w:bottom w:val="none" w:sz="0" w:space="0" w:color="auto"/>
                    <w:right w:val="none" w:sz="0" w:space="0" w:color="auto"/>
                  </w:divBdr>
                  <w:divsChild>
                    <w:div w:id="1299873704">
                      <w:marLeft w:val="0"/>
                      <w:marRight w:val="0"/>
                      <w:marTop w:val="0"/>
                      <w:marBottom w:val="0"/>
                      <w:divBdr>
                        <w:top w:val="none" w:sz="0" w:space="0" w:color="auto"/>
                        <w:left w:val="none" w:sz="0" w:space="0" w:color="auto"/>
                        <w:bottom w:val="none" w:sz="0" w:space="0" w:color="auto"/>
                        <w:right w:val="none" w:sz="0" w:space="0" w:color="auto"/>
                      </w:divBdr>
                      <w:divsChild>
                        <w:div w:id="1360819804">
                          <w:marLeft w:val="0"/>
                          <w:marRight w:val="0"/>
                          <w:marTop w:val="0"/>
                          <w:marBottom w:val="0"/>
                          <w:divBdr>
                            <w:top w:val="none" w:sz="0" w:space="0" w:color="auto"/>
                            <w:left w:val="none" w:sz="0" w:space="0" w:color="auto"/>
                            <w:bottom w:val="none" w:sz="0" w:space="0" w:color="auto"/>
                            <w:right w:val="none" w:sz="0" w:space="0" w:color="auto"/>
                          </w:divBdr>
                          <w:divsChild>
                            <w:div w:id="2336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961245">
      <w:bodyDiv w:val="1"/>
      <w:marLeft w:val="0"/>
      <w:marRight w:val="0"/>
      <w:marTop w:val="0"/>
      <w:marBottom w:val="0"/>
      <w:divBdr>
        <w:top w:val="none" w:sz="0" w:space="0" w:color="auto"/>
        <w:left w:val="none" w:sz="0" w:space="0" w:color="auto"/>
        <w:bottom w:val="none" w:sz="0" w:space="0" w:color="auto"/>
        <w:right w:val="none" w:sz="0" w:space="0" w:color="auto"/>
      </w:divBdr>
      <w:divsChild>
        <w:div w:id="99567502">
          <w:marLeft w:val="0"/>
          <w:marRight w:val="0"/>
          <w:marTop w:val="0"/>
          <w:marBottom w:val="0"/>
          <w:divBdr>
            <w:top w:val="none" w:sz="0" w:space="0" w:color="auto"/>
            <w:left w:val="none" w:sz="0" w:space="0" w:color="auto"/>
            <w:bottom w:val="none" w:sz="0" w:space="0" w:color="auto"/>
            <w:right w:val="none" w:sz="0" w:space="0" w:color="auto"/>
          </w:divBdr>
          <w:divsChild>
            <w:div w:id="412631662">
              <w:marLeft w:val="0"/>
              <w:marRight w:val="0"/>
              <w:marTop w:val="0"/>
              <w:marBottom w:val="0"/>
              <w:divBdr>
                <w:top w:val="none" w:sz="0" w:space="0" w:color="auto"/>
                <w:left w:val="none" w:sz="0" w:space="0" w:color="auto"/>
                <w:bottom w:val="none" w:sz="0" w:space="0" w:color="auto"/>
                <w:right w:val="none" w:sz="0" w:space="0" w:color="auto"/>
              </w:divBdr>
              <w:divsChild>
                <w:div w:id="1385059848">
                  <w:marLeft w:val="0"/>
                  <w:marRight w:val="0"/>
                  <w:marTop w:val="0"/>
                  <w:marBottom w:val="0"/>
                  <w:divBdr>
                    <w:top w:val="none" w:sz="0" w:space="0" w:color="auto"/>
                    <w:left w:val="none" w:sz="0" w:space="0" w:color="auto"/>
                    <w:bottom w:val="none" w:sz="0" w:space="0" w:color="auto"/>
                    <w:right w:val="none" w:sz="0" w:space="0" w:color="auto"/>
                  </w:divBdr>
                  <w:divsChild>
                    <w:div w:id="250745265">
                      <w:marLeft w:val="0"/>
                      <w:marRight w:val="0"/>
                      <w:marTop w:val="0"/>
                      <w:marBottom w:val="0"/>
                      <w:divBdr>
                        <w:top w:val="none" w:sz="0" w:space="0" w:color="auto"/>
                        <w:left w:val="none" w:sz="0" w:space="0" w:color="auto"/>
                        <w:bottom w:val="none" w:sz="0" w:space="0" w:color="auto"/>
                        <w:right w:val="none" w:sz="0" w:space="0" w:color="auto"/>
                      </w:divBdr>
                      <w:divsChild>
                        <w:div w:id="1345788256">
                          <w:marLeft w:val="0"/>
                          <w:marRight w:val="0"/>
                          <w:marTop w:val="0"/>
                          <w:marBottom w:val="0"/>
                          <w:divBdr>
                            <w:top w:val="none" w:sz="0" w:space="0" w:color="auto"/>
                            <w:left w:val="none" w:sz="0" w:space="0" w:color="auto"/>
                            <w:bottom w:val="none" w:sz="0" w:space="0" w:color="auto"/>
                            <w:right w:val="none" w:sz="0" w:space="0" w:color="auto"/>
                          </w:divBdr>
                          <w:divsChild>
                            <w:div w:id="209042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169964">
      <w:bodyDiv w:val="1"/>
      <w:marLeft w:val="0"/>
      <w:marRight w:val="0"/>
      <w:marTop w:val="0"/>
      <w:marBottom w:val="0"/>
      <w:divBdr>
        <w:top w:val="none" w:sz="0" w:space="0" w:color="auto"/>
        <w:left w:val="none" w:sz="0" w:space="0" w:color="auto"/>
        <w:bottom w:val="none" w:sz="0" w:space="0" w:color="auto"/>
        <w:right w:val="none" w:sz="0" w:space="0" w:color="auto"/>
      </w:divBdr>
      <w:divsChild>
        <w:div w:id="743071526">
          <w:marLeft w:val="0"/>
          <w:marRight w:val="0"/>
          <w:marTop w:val="0"/>
          <w:marBottom w:val="0"/>
          <w:divBdr>
            <w:top w:val="none" w:sz="0" w:space="0" w:color="auto"/>
            <w:left w:val="none" w:sz="0" w:space="0" w:color="auto"/>
            <w:bottom w:val="none" w:sz="0" w:space="0" w:color="auto"/>
            <w:right w:val="none" w:sz="0" w:space="0" w:color="auto"/>
          </w:divBdr>
          <w:divsChild>
            <w:div w:id="1590195963">
              <w:marLeft w:val="0"/>
              <w:marRight w:val="0"/>
              <w:marTop w:val="0"/>
              <w:marBottom w:val="0"/>
              <w:divBdr>
                <w:top w:val="none" w:sz="0" w:space="0" w:color="auto"/>
                <w:left w:val="none" w:sz="0" w:space="0" w:color="auto"/>
                <w:bottom w:val="none" w:sz="0" w:space="0" w:color="auto"/>
                <w:right w:val="none" w:sz="0" w:space="0" w:color="auto"/>
              </w:divBdr>
              <w:divsChild>
                <w:div w:id="1153107220">
                  <w:marLeft w:val="0"/>
                  <w:marRight w:val="0"/>
                  <w:marTop w:val="0"/>
                  <w:marBottom w:val="0"/>
                  <w:divBdr>
                    <w:top w:val="none" w:sz="0" w:space="0" w:color="auto"/>
                    <w:left w:val="none" w:sz="0" w:space="0" w:color="auto"/>
                    <w:bottom w:val="none" w:sz="0" w:space="0" w:color="auto"/>
                    <w:right w:val="none" w:sz="0" w:space="0" w:color="auto"/>
                  </w:divBdr>
                  <w:divsChild>
                    <w:div w:id="287705260">
                      <w:marLeft w:val="0"/>
                      <w:marRight w:val="0"/>
                      <w:marTop w:val="0"/>
                      <w:marBottom w:val="0"/>
                      <w:divBdr>
                        <w:top w:val="none" w:sz="0" w:space="0" w:color="auto"/>
                        <w:left w:val="none" w:sz="0" w:space="0" w:color="auto"/>
                        <w:bottom w:val="none" w:sz="0" w:space="0" w:color="auto"/>
                        <w:right w:val="none" w:sz="0" w:space="0" w:color="auto"/>
                      </w:divBdr>
                      <w:divsChild>
                        <w:div w:id="569778709">
                          <w:marLeft w:val="0"/>
                          <w:marRight w:val="0"/>
                          <w:marTop w:val="0"/>
                          <w:marBottom w:val="0"/>
                          <w:divBdr>
                            <w:top w:val="none" w:sz="0" w:space="0" w:color="auto"/>
                            <w:left w:val="none" w:sz="0" w:space="0" w:color="auto"/>
                            <w:bottom w:val="none" w:sz="0" w:space="0" w:color="auto"/>
                            <w:right w:val="none" w:sz="0" w:space="0" w:color="auto"/>
                          </w:divBdr>
                          <w:divsChild>
                            <w:div w:id="96358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957387">
      <w:bodyDiv w:val="1"/>
      <w:marLeft w:val="0"/>
      <w:marRight w:val="0"/>
      <w:marTop w:val="0"/>
      <w:marBottom w:val="0"/>
      <w:divBdr>
        <w:top w:val="none" w:sz="0" w:space="0" w:color="auto"/>
        <w:left w:val="none" w:sz="0" w:space="0" w:color="auto"/>
        <w:bottom w:val="none" w:sz="0" w:space="0" w:color="auto"/>
        <w:right w:val="none" w:sz="0" w:space="0" w:color="auto"/>
      </w:divBdr>
      <w:divsChild>
        <w:div w:id="1962222447">
          <w:marLeft w:val="0"/>
          <w:marRight w:val="0"/>
          <w:marTop w:val="0"/>
          <w:marBottom w:val="0"/>
          <w:divBdr>
            <w:top w:val="none" w:sz="0" w:space="0" w:color="auto"/>
            <w:left w:val="none" w:sz="0" w:space="0" w:color="auto"/>
            <w:bottom w:val="none" w:sz="0" w:space="0" w:color="auto"/>
            <w:right w:val="none" w:sz="0" w:space="0" w:color="auto"/>
          </w:divBdr>
          <w:divsChild>
            <w:div w:id="1364743694">
              <w:marLeft w:val="0"/>
              <w:marRight w:val="0"/>
              <w:marTop w:val="0"/>
              <w:marBottom w:val="0"/>
              <w:divBdr>
                <w:top w:val="none" w:sz="0" w:space="0" w:color="auto"/>
                <w:left w:val="none" w:sz="0" w:space="0" w:color="auto"/>
                <w:bottom w:val="none" w:sz="0" w:space="0" w:color="auto"/>
                <w:right w:val="none" w:sz="0" w:space="0" w:color="auto"/>
              </w:divBdr>
              <w:divsChild>
                <w:div w:id="1079983424">
                  <w:marLeft w:val="0"/>
                  <w:marRight w:val="0"/>
                  <w:marTop w:val="0"/>
                  <w:marBottom w:val="0"/>
                  <w:divBdr>
                    <w:top w:val="none" w:sz="0" w:space="0" w:color="auto"/>
                    <w:left w:val="none" w:sz="0" w:space="0" w:color="auto"/>
                    <w:bottom w:val="none" w:sz="0" w:space="0" w:color="auto"/>
                    <w:right w:val="none" w:sz="0" w:space="0" w:color="auto"/>
                  </w:divBdr>
                  <w:divsChild>
                    <w:div w:id="1987780809">
                      <w:marLeft w:val="0"/>
                      <w:marRight w:val="0"/>
                      <w:marTop w:val="0"/>
                      <w:marBottom w:val="0"/>
                      <w:divBdr>
                        <w:top w:val="none" w:sz="0" w:space="0" w:color="auto"/>
                        <w:left w:val="none" w:sz="0" w:space="0" w:color="auto"/>
                        <w:bottom w:val="none" w:sz="0" w:space="0" w:color="auto"/>
                        <w:right w:val="none" w:sz="0" w:space="0" w:color="auto"/>
                      </w:divBdr>
                      <w:divsChild>
                        <w:div w:id="1416979783">
                          <w:marLeft w:val="0"/>
                          <w:marRight w:val="0"/>
                          <w:marTop w:val="0"/>
                          <w:marBottom w:val="0"/>
                          <w:divBdr>
                            <w:top w:val="none" w:sz="0" w:space="0" w:color="auto"/>
                            <w:left w:val="none" w:sz="0" w:space="0" w:color="auto"/>
                            <w:bottom w:val="none" w:sz="0" w:space="0" w:color="auto"/>
                            <w:right w:val="none" w:sz="0" w:space="0" w:color="auto"/>
                          </w:divBdr>
                          <w:divsChild>
                            <w:div w:id="5865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783962556">
      <w:bodyDiv w:val="1"/>
      <w:marLeft w:val="0"/>
      <w:marRight w:val="0"/>
      <w:marTop w:val="0"/>
      <w:marBottom w:val="0"/>
      <w:divBdr>
        <w:top w:val="none" w:sz="0" w:space="0" w:color="auto"/>
        <w:left w:val="none" w:sz="0" w:space="0" w:color="auto"/>
        <w:bottom w:val="none" w:sz="0" w:space="0" w:color="auto"/>
        <w:right w:val="none" w:sz="0" w:space="0" w:color="auto"/>
      </w:divBdr>
      <w:divsChild>
        <w:div w:id="1190802071">
          <w:marLeft w:val="0"/>
          <w:marRight w:val="0"/>
          <w:marTop w:val="0"/>
          <w:marBottom w:val="0"/>
          <w:divBdr>
            <w:top w:val="none" w:sz="0" w:space="0" w:color="auto"/>
            <w:left w:val="none" w:sz="0" w:space="0" w:color="auto"/>
            <w:bottom w:val="none" w:sz="0" w:space="0" w:color="auto"/>
            <w:right w:val="none" w:sz="0" w:space="0" w:color="auto"/>
          </w:divBdr>
          <w:divsChild>
            <w:div w:id="2048528333">
              <w:marLeft w:val="0"/>
              <w:marRight w:val="0"/>
              <w:marTop w:val="0"/>
              <w:marBottom w:val="0"/>
              <w:divBdr>
                <w:top w:val="none" w:sz="0" w:space="0" w:color="auto"/>
                <w:left w:val="none" w:sz="0" w:space="0" w:color="auto"/>
                <w:bottom w:val="none" w:sz="0" w:space="0" w:color="auto"/>
                <w:right w:val="none" w:sz="0" w:space="0" w:color="auto"/>
              </w:divBdr>
              <w:divsChild>
                <w:div w:id="1278024289">
                  <w:marLeft w:val="0"/>
                  <w:marRight w:val="0"/>
                  <w:marTop w:val="0"/>
                  <w:marBottom w:val="0"/>
                  <w:divBdr>
                    <w:top w:val="none" w:sz="0" w:space="0" w:color="auto"/>
                    <w:left w:val="none" w:sz="0" w:space="0" w:color="auto"/>
                    <w:bottom w:val="none" w:sz="0" w:space="0" w:color="auto"/>
                    <w:right w:val="none" w:sz="0" w:space="0" w:color="auto"/>
                  </w:divBdr>
                  <w:divsChild>
                    <w:div w:id="2013987362">
                      <w:marLeft w:val="0"/>
                      <w:marRight w:val="0"/>
                      <w:marTop w:val="0"/>
                      <w:marBottom w:val="0"/>
                      <w:divBdr>
                        <w:top w:val="none" w:sz="0" w:space="0" w:color="auto"/>
                        <w:left w:val="none" w:sz="0" w:space="0" w:color="auto"/>
                        <w:bottom w:val="none" w:sz="0" w:space="0" w:color="auto"/>
                        <w:right w:val="none" w:sz="0" w:space="0" w:color="auto"/>
                      </w:divBdr>
                      <w:divsChild>
                        <w:div w:id="741678552">
                          <w:marLeft w:val="0"/>
                          <w:marRight w:val="0"/>
                          <w:marTop w:val="0"/>
                          <w:marBottom w:val="0"/>
                          <w:divBdr>
                            <w:top w:val="none" w:sz="0" w:space="0" w:color="auto"/>
                            <w:left w:val="none" w:sz="0" w:space="0" w:color="auto"/>
                            <w:bottom w:val="none" w:sz="0" w:space="0" w:color="auto"/>
                            <w:right w:val="none" w:sz="0" w:space="0" w:color="auto"/>
                          </w:divBdr>
                          <w:divsChild>
                            <w:div w:id="90696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hudoc.echr.coe.int/eng" TargetMode="External"/><Relationship Id="rId26" Type="http://schemas.openxmlformats.org/officeDocument/2006/relationships/hyperlink" Target="http://hudoc.echr.coe.int/eng" TargetMode="External"/><Relationship Id="rId21" Type="http://schemas.openxmlformats.org/officeDocument/2006/relationships/hyperlink" Target="http://hudoc.echr.coe.int/eng" TargetMode="Externa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hudoc.echr.coe.int/eng" TargetMode="External"/><Relationship Id="rId25" Type="http://schemas.openxmlformats.org/officeDocument/2006/relationships/hyperlink" Target="http://hudoc.echr.coe.int/eng" TargetMode="Externa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hudoc.echr.coe.int/eng" TargetMode="External"/><Relationship Id="rId20" Type="http://schemas.openxmlformats.org/officeDocument/2006/relationships/hyperlink" Target="http://hudoc.echr.coe.int/eng" TargetMode="External"/><Relationship Id="rId29" Type="http://schemas.openxmlformats.org/officeDocument/2006/relationships/hyperlink" Target="http://hudoc.echr.coe.int/e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hudoc.echr.coe.int/eng" TargetMode="External"/><Relationship Id="rId32" Type="http://schemas.openxmlformats.org/officeDocument/2006/relationships/hyperlink" Target="http://hudoc.echr.coe.int/eng"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hudoc.echr.coe.int/eng" TargetMode="External"/><Relationship Id="rId23" Type="http://schemas.openxmlformats.org/officeDocument/2006/relationships/hyperlink" Target="http://hudoc.echr.coe.int/eng" TargetMode="External"/><Relationship Id="rId28" Type="http://schemas.openxmlformats.org/officeDocument/2006/relationships/hyperlink" Target="http://hudoc.echr.coe.int/eng" TargetMode="Externa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hudoc.echr.coe.int/eng" TargetMode="External"/><Relationship Id="rId31" Type="http://schemas.openxmlformats.org/officeDocument/2006/relationships/hyperlink" Target="http://hudoc.echr.coe.int/e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udoc.echr.coe.int/eng" TargetMode="External"/><Relationship Id="rId22" Type="http://schemas.openxmlformats.org/officeDocument/2006/relationships/hyperlink" Target="http://hudoc.echr.coe.int/eng" TargetMode="External"/><Relationship Id="rId27" Type="http://schemas.openxmlformats.org/officeDocument/2006/relationships/hyperlink" Target="http://hudoc.echr.coe.int/eng" TargetMode="External"/><Relationship Id="rId30" Type="http://schemas.openxmlformats.org/officeDocument/2006/relationships/hyperlink" Target="http://hudoc.echr.coe.int/eng" TargetMode="External"/><Relationship Id="rId35" Type="http://schemas.openxmlformats.org/officeDocument/2006/relationships/header" Target="header5.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8D816-7114-43F9-8866-BF1A2AF5EF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7D1123-0436-4ECA-8D55-1A4BCF8D4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48B576-7D20-4530-A513-D26BA109E0D6}">
  <ds:schemaRefs>
    <ds:schemaRef ds:uri="http://schemas.microsoft.com/sharepoint/v3/contenttype/forms"/>
  </ds:schemaRefs>
</ds:datastoreItem>
</file>

<file path=customXml/itemProps4.xml><?xml version="1.0" encoding="utf-8"?>
<ds:datastoreItem xmlns:ds="http://schemas.openxmlformats.org/officeDocument/2006/customXml" ds:itemID="{36A438EC-8BD5-4DB0-ACFF-767A97173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6560</Words>
  <Characters>37396</Characters>
  <Application>Microsoft Office Word</Application>
  <DocSecurity>0</DocSecurity>
  <Lines>311</Lines>
  <Paragraphs>87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43869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dc:description/>
  <cp:lastModifiedBy/>
  <cp:revision>1</cp:revision>
  <dcterms:created xsi:type="dcterms:W3CDTF">2017-10-16T12:48:00Z</dcterms:created>
  <dcterms:modified xsi:type="dcterms:W3CDTF">2017-10-16T12:48:00Z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26073/13</vt:lpwstr>
  </property>
  <property fmtid="{D5CDD505-2E9C-101B-9397-08002B2CF9AE}" pid="4" name="CASEID">
    <vt:lpwstr>876616</vt:lpwstr>
  </property>
  <property fmtid="{D5CDD505-2E9C-101B-9397-08002B2CF9AE}" pid="5" name="ContentTypeId">
    <vt:lpwstr>0x010100558EB02BDB9E204AB350EDD385B68E10</vt:lpwstr>
  </property>
</Properties>
</file>